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Training Coverage Summary · fm-vision-bridge-3.1</w:t>
      </w:r>
    </w:p>
    <w:p>
      <w:pPr>
        <w:spacing w:before="0" w:after="180" w:line="276" w:lineRule="auto"/>
      </w:pPr>
      <w:r>
        <w:rPr>
          <w:rFonts w:ascii="Barlow" w:hAnsi="Barlow" w:cs="Barlow"/>
          <w:b w:val="0"/>
          <w:i w:val="0"/>
          <w:color w:val="6B7280"/>
          <w:sz w:val="20"/>
        </w:rPr>
        <w:t>Prepared for internal deployment review. This extract describes the labeled image archive used for training and evaluation; it does not certify fitness for every bridge.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309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Coverage dimension</w:t>
            </w:r>
          </w:p>
        </w:tc>
        <w:tc>
          <w:tcPr>
            <w:tcW w:type="dxa" w:w="68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Training / evaluation archive</w:t>
            </w:r>
          </w:p>
        </w:tc>
      </w:tr>
      <w:tr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Total labeled images</w:t>
            </w:r>
          </w:p>
        </w:tc>
        <w:tc>
          <w:tcPr>
            <w:tcW w:type="dxa" w:w="68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18,420</w:t>
            </w:r>
          </w:p>
        </w:tc>
      </w:tr>
      <w:tr>
        <w:tc>
          <w:tcPr>
            <w:tcW w:type="dxa" w:w="30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Bridge configuration</w:t>
            </w:r>
          </w:p>
        </w:tc>
        <w:tc>
          <w:tcPr>
            <w:tcW w:type="dxa" w:w="68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91% fixed highway girder; 7% fixed truss; 2% other fixed</w:t>
            </w:r>
          </w:p>
        </w:tc>
      </w:tr>
      <w:tr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Movable bridges</w:t>
            </w:r>
          </w:p>
        </w:tc>
        <w:tc>
          <w:tcPr>
            <w:tcW w:type="dxa" w:w="68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0 images labeled as lift, bascule, or swing bridges</w:t>
            </w:r>
          </w:p>
        </w:tc>
      </w:tr>
      <w:tr>
        <w:tc>
          <w:tcPr>
            <w:tcW w:type="dxa" w:w="30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Component labels</w:t>
            </w:r>
          </w:p>
        </w:tc>
        <w:tc>
          <w:tcPr>
            <w:tcW w:type="dxa" w:w="68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deck, fixed girders, diaphragms, abutments, piers, fixed bearings</w:t>
            </w:r>
          </w:p>
        </w:tc>
      </w:tr>
      <w:tr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Moving-machinery labels</w:t>
            </w:r>
          </w:p>
        </w:tc>
        <w:tc>
          <w:tcPr>
            <w:tcW w:type="dxa" w:w="68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none for motors, gearboxes, sheaves, ropes, or span locks</w:t>
            </w:r>
          </w:p>
        </w:tc>
      </w:tr>
      <w:tr>
        <w:tc>
          <w:tcPr>
            <w:tcW w:type="dxa" w:w="30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Climate exposure</w:t>
            </w:r>
          </w:p>
        </w:tc>
        <w:tc>
          <w:tcPr>
            <w:tcW w:type="dxa" w:w="68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74% warm-state records; 88% from sites with fewer than 10 annual freeze–thaw cycles</w:t>
            </w:r>
          </w:p>
        </w:tc>
      </w:tr>
      <w:tr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Deicing-salt exposure</w:t>
            </w:r>
          </w:p>
        </w:tc>
        <w:tc>
          <w:tcPr>
            <w:tcW w:type="dxa" w:w="68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not recorded as a training field</w:t>
            </w:r>
          </w:p>
        </w:tc>
      </w:tr>
      <w:tr>
        <w:tc>
          <w:tcPr>
            <w:tcW w:type="dxa" w:w="30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Evaluation split</w:t>
            </w:r>
          </w:p>
        </w:tc>
        <w:tc>
          <w:tcPr>
            <w:tcW w:type="dxa" w:w="68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random image-level split from the same archive</w:t>
            </w:r>
          </w:p>
        </w:tc>
      </w:tr>
      <w:tr>
        <w:tc>
          <w:tcPr>
            <w:tcW w:type="dxa" w:w="30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Reported evaluation accuracy</w:t>
            </w:r>
          </w:p>
        </w:tc>
        <w:tc>
          <w:tcPr>
            <w:tcW w:type="dxa" w:w="68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93.8% overall on the held-out archive images</w:t>
            </w:r>
          </w:p>
        </w:tc>
      </w:tr>
      <w:tr>
        <w:tc>
          <w:tcPr>
            <w:tcW w:type="dxa" w:w="30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Confidence calibration</w:t>
            </w:r>
          </w:p>
        </w:tc>
        <w:tc>
          <w:tcPr>
            <w:tcW w:type="dxa" w:w="68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checked only on the held-out archive images</w:t>
            </w:r>
          </w:p>
        </w:tc>
      </w:tr>
    </w:tbl>
    <w:p>
      <w:pPr>
        <w:spacing w:before="120" w:after="160" w:line="276" w:lineRule="auto"/>
        <w:pBdr>
          <w:top w:val="single" w:sz="8" w:space="6" w:color="F2C230"/>
          <w:left w:val="single" w:sz="8" w:space="6" w:color="F2C230"/>
          <w:bottom w:val="single" w:sz="8" w:space="6" w:color="F2C230"/>
          <w:right w:val="single" w:sz="8" w:space="6" w:color="F2C230"/>
        </w:pBdr>
        <w:shd w:val="clear" w:fill="FFF6E5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Use boundary  </w:t>
      </w:r>
      <w:r>
        <w:rPr>
          <w:rFonts w:ascii="Barlow" w:hAnsi="Barlow" w:cs="Barlow"/>
          <w:b w:val="0"/>
          <w:i w:val="0"/>
          <w:sz w:val="19"/>
        </w:rPr>
        <w:t>Reported accuracy and confidence apply to the disclosed evaluation archive. Users must compare a proposed deployment with the training coverage and arrange qualified review for conditions outside that coverage.</w:t>
      </w:r>
    </w:p>
    <w:p>
      <w:pPr>
        <w:spacing w:before="0" w:after="120" w:line="276" w:lineRule="auto"/>
      </w:pPr>
      <w:r>
        <w:rPr>
          <w:rFonts w:ascii="Barlow" w:hAnsi="Barlow" w:cs="Barlow"/>
          <w:b w:val="0"/>
          <w:i/>
          <w:color w:val="6B7280"/>
          <w:sz w:val="16"/>
        </w:rPr>
        <w:t>Source note: synthetic model card written for SEIS 201. It describes no commercial product or partner firm.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Otter Bend Lift Bridge  ·  Kinnick County Project 27-114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drawing>
        <wp:inline xmlns:a="http://schemas.openxmlformats.org/drawingml/2006/main" xmlns:pic="http://schemas.openxmlformats.org/drawingml/2006/picture">
          <wp:extent cx="1182515" cy="31089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cmejob-logo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2515" cy="310896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FOREMAN Vendor Training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2027-02-23T12:00:00Z</dcterms:created>
  <dcterms:modified xsi:type="dcterms:W3CDTF">2027-02-23T12:00:00Z</dcterms:modified>
  <cp:category/>
</cp:coreProperties>
</file>