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2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42"/>
        </w:rPr>
        <w:t>Answer Key and Teaching Notes</w:t>
      </w:r>
    </w:p>
    <w:p>
      <w:pPr>
        <w:spacing w:before="120" w:after="160" w:line="276" w:lineRule="auto"/>
        <w:pBdr>
          <w:top w:val="single" w:sz="8" w:space="6" w:color="F26B1D"/>
          <w:left w:val="single" w:sz="8" w:space="6" w:color="F26B1D"/>
          <w:bottom w:val="single" w:sz="8" w:space="6" w:color="F26B1D"/>
          <w:right w:val="single" w:sz="8" w:space="6" w:color="F26B1D"/>
        </w:pBdr>
        <w:shd w:val="clear" w:fill="FFF1E8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Gated conclusion  </w:t>
      </w:r>
      <w:r>
        <w:rPr>
          <w:rFonts w:ascii="Barlow" w:hAnsi="Barlow" w:cs="Barlow"/>
          <w:b w:val="0"/>
          <w:i w:val="0"/>
          <w:sz w:val="19"/>
        </w:rPr>
        <w:t>FOREMAN's 93–97% values are class probabilities, not evidence that the deployment is in-domain. The archive contains no movable bridges or moving-machinery labels and underrepresents Otter Bend's climate. Do not distribute this key or reveal deck before students submit H7-05 and H7-06.</w:t>
      </w: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Coverage audit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968"/>
        <w:gridCol w:w="4968"/>
      </w:tblGrid>
      <w:tr>
        <w:tc>
          <w:tcPr>
            <w:tcW w:type="dxa" w:w="2232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Dimension</w:t>
            </w:r>
          </w:p>
        </w:tc>
        <w:tc>
          <w:tcPr>
            <w:tcW w:type="dxa" w:w="7704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Key finding</w:t>
            </w:r>
          </w:p>
        </w:tc>
      </w:tr>
      <w:tr>
        <w:tc>
          <w:tcPr>
            <w:tcW w:type="dxa" w:w="223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Bridge configuration</w:t>
            </w:r>
          </w:p>
        </w:tc>
        <w:tc>
          <w:tcPr>
            <w:tcW w:type="dxa" w:w="770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91% fixed highway girder; Otter Bend is a vertical-lift bridge. Distribution shift.</w:t>
            </w:r>
          </w:p>
        </w:tc>
      </w:tr>
      <w:tr>
        <w:tc>
          <w:tcPr>
            <w:tcW w:type="dxa" w:w="2232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Climate</w:t>
            </w:r>
          </w:p>
        </w:tc>
        <w:tc>
          <w:tcPr>
            <w:tcW w:type="dxa" w:w="7704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Archive is mostly warm-state / low freeze–thaw; Otter Bend is in Minnesota. Distribution shift.</w:t>
            </w:r>
          </w:p>
        </w:tc>
      </w:tr>
      <w:tr>
        <w:tc>
          <w:tcPr>
            <w:tcW w:type="dxa" w:w="223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Familiar components</w:t>
            </w:r>
          </w:p>
        </w:tc>
        <w:tc>
          <w:tcPr>
            <w:tcW w:type="dxa" w:w="770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Images 001–004 show fixed girder/deck categories present in training, but climate and whole-asset context still differ.</w:t>
            </w:r>
          </w:p>
        </w:tc>
      </w:tr>
      <w:tr>
        <w:tc>
          <w:tcPr>
            <w:tcW w:type="dxa" w:w="2232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Tower structure</w:t>
            </w:r>
          </w:p>
        </w:tc>
        <w:tc>
          <w:tcPr>
            <w:tcW w:type="dxa" w:w="7704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Images 005–006 are not represented by the listed fixed-bridge component taxonomy. Coverage gap.</w:t>
            </w:r>
          </w:p>
        </w:tc>
      </w:tr>
      <w:tr>
        <w:tc>
          <w:tcPr>
            <w:tcW w:type="dxa" w:w="223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Moving machinery</w:t>
            </w:r>
          </w:p>
        </w:tc>
        <w:tc>
          <w:tcPr>
            <w:tcW w:type="dxa" w:w="770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Images 007–012 cover motors, gearbox, sheave bearing, ropes, span lock, and controls; labels are absent. Out of domain.</w:t>
            </w:r>
          </w:p>
        </w:tc>
      </w:tr>
      <w:tr>
        <w:tc>
          <w:tcPr>
            <w:tcW w:type="dxa" w:w="2232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Accuracy</w:t>
            </w:r>
          </w:p>
        </w:tc>
        <w:tc>
          <w:tcPr>
            <w:tcW w:type="dxa" w:w="7704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93.8% is valid only for a random image split from the same archive; it is not a Minnesota lift-bridge result.</w:t>
            </w:r>
          </w:p>
        </w:tc>
      </w:tr>
      <w:tr>
        <w:tc>
          <w:tcPr>
            <w:tcW w:type="dxa" w:w="223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Confidence</w:t>
            </w:r>
          </w:p>
        </w:tc>
        <w:tc>
          <w:tcPr>
            <w:tcW w:type="dxa" w:w="770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High class probability can persist under shift. It does not measure applicability or hidden ignorance.</w:t>
            </w:r>
          </w:p>
        </w:tc>
      </w:tr>
    </w:tbl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Acceptable bounded action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Do not publish “no significant defects” as a final condition conclusion for all 12 images.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Route tower and machinery images to qualified structural/mechanical inspection review.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At most, retain images 001–004 as provisional triage results with the climate and deployment limits explicit.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Ask for movable-bridge and cold-climate validation before using confidence values as decision evidence.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Preserve Wes's memo as liability color seeded inside M13's existing messy unit-mismatch handoff; it does not replace or rewrite M13.</w:t>
      </w: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Model note v2</w:t>
      </w:r>
    </w:p>
    <w:p>
      <w:pPr>
        <w:spacing w:before="120" w:after="160" w:line="276" w:lineRule="auto"/>
        <w:pBdr>
          <w:top w:val="single" w:sz="8" w:space="6" w:color="6F8FAF"/>
          <w:left w:val="single" w:sz="8" w:space="6" w:color="6F8FAF"/>
          <w:bottom w:val="single" w:sz="8" w:space="6" w:color="6F8FAF"/>
          <w:right w:val="single" w:sz="8" w:space="6" w:color="6F8FAF"/>
        </w:pBdr>
        <w:shd w:val="clear" w:fill="EEF3F8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CLAIM / CHECK / RESULT  </w:t>
      </w:r>
      <w:r>
        <w:rPr>
          <w:rFonts w:ascii="Barlow" w:hAnsi="Barlow" w:cs="Barlow"/>
          <w:b w:val="0"/>
          <w:i w:val="0"/>
          <w:sz w:val="19"/>
        </w:rPr>
        <w:t>CLAIM — FOREMAN says all 12 images show no significant defects at 93–97% confidence. CHECK — I compared Otter Bend's bridge type, climate, and components with H7-02. RESULT — the archive has no movable bridges or machinery labels and little comparable climate exposure, so I would withhold the all-clear, route images 005–012 to qualified review, and treat 001–004 only as provisional triage.</w:t>
      </w: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Teaching boundaries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Students do not have to diagnose any physical defect. The correct target is applicability.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Do not reveal later bearing wear. M07 establishes only that the machinery rating lacked support.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Do not introduce temperature/strain regression; that investigation begins in M08.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Diane is in believer mode because the interim report moved up. Her approval is not the key.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152" w:bottom="1152" w:left="1152" w:header="576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tabs>
        <w:tab w:val="right" w:pos="9936"/>
      </w:tabs>
    </w:pPr>
    <w:r>
      <w:rPr>
        <w:rFonts w:ascii="Barlow" w:hAnsi="Barlow" w:cs="Barlow"/>
        <w:b w:val="0"/>
        <w:i w:val="0"/>
        <w:color w:val="6B7280"/>
        <w:sz w:val="16"/>
      </w:rPr>
      <w:t>SEIS 201  ·  M07</w:t>
    </w:r>
    <w:r>
      <w:tab/>
    </w:r>
    <w:r>
      <w:rPr>
        <w:rFonts w:ascii="Barlow" w:hAnsi="Barlow"/>
        <w:color w:val="6B7280"/>
        <w:sz w:val="16"/>
      </w:rPr>
      <w:fldChar w:fldCharType="begin"/>
      <w:instrText xml:space="preserve"> PAGE </w:instrText>
      <w:fldChar w:fldCharType="end"/>
    </w:r>
    <w:r>
      <w:rPr>
        <w:rFonts w:ascii="Barlow" w:hAnsi="Barlow"/>
        <w:color w:val="6B7280"/>
        <w:sz w:val="16"/>
      </w:rPr>
      <w:t xml:space="preserve"> of </w:t>
    </w:r>
    <w:r>
      <w:rPr>
        <w:rFonts w:ascii="Barlow" w:hAnsi="Barlow"/>
        <w:color w:val="6B7280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pBdr>
        <w:bottom w:val="single" w:sz="6" w:space="4" w:color="C9CFD6"/>
      </w:pBdr>
    </w:pP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SEIS 201  ·  AI FOR CE/ME ENGINEERS</w:t>
    </w:r>
    <w:r>
      <w:tab/>
      <w:tab/>
    </w: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M07  ·  INSTRUCTOR ONLY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arlow" w:hAnsi="Barlow" w:eastAsia="Barlo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2027-02-23T12:00:00Z</dcterms:created>
  <dcterms:modified xsi:type="dcterms:W3CDTF">2027-02-23T12:00:00Z</dcterms:modified>
  <cp:category/>
</cp:coreProperties>
</file>