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Answer Key and Teaching Notes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Gated reveal  </w:t>
      </w:r>
      <w:r>
        <w:rPr>
          <w:rFonts w:ascii="Barlow" w:hAnsi="Barlow" w:cs="Barlow"/>
          <w:b w:val="0"/>
          <w:i w:val="0"/>
          <w:sz w:val="19"/>
        </w:rPr>
        <w:t>Two tiles are designed to fail careful review: the undefined 87/100 structural health score and the recycled raw M08 trend with a red worsening arrow. Do not identify them before students complete all five decisions.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Tile</w:t>
            </w:r>
          </w:p>
        </w:tc>
        <w:tc>
          <w:tcPr>
            <w:tcW w:type="dxa" w:w="151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Model decision</w:t>
            </w:r>
          </w:p>
        </w:tc>
        <w:tc>
          <w:tcPr>
            <w:tcW w:type="dxa" w:w="61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Why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1 · Structural health score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PULL or FIX</w:t>
            </w:r>
          </w:p>
        </w:tc>
        <w:tc>
          <w:tcPr>
            <w:tcW w:type="dxa" w:w="61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87/100 has no formula, inputs, source, or defensible meaning</w:t>
            </w:r>
          </w:p>
        </w:tc>
      </w:tr>
      <w:tr>
        <w:tc>
          <w:tcPr>
            <w:tcW w:type="dxa" w:w="22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2 · Midspan strain trend</w:t>
            </w:r>
          </w:p>
        </w:tc>
        <w:tc>
          <w:tcPr>
            <w:tcW w:type="dxa" w:w="15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PULL or FIX</w:t>
            </w:r>
          </w:p>
        </w:tc>
        <w:tc>
          <w:tcPr>
            <w:tcW w:type="dxa" w:w="619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Raw M08 date trend recycles a temperature-driven damage story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3 · Weather join coverage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APPROVE</w:t>
            </w:r>
          </w:p>
        </w:tc>
        <w:tc>
          <w:tcPr>
            <w:tcW w:type="dxa" w:w="61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Defined numerator/denominator, sources, and exact-match rule</w:t>
            </w:r>
          </w:p>
        </w:tc>
      </w:tr>
      <w:tr>
        <w:tc>
          <w:tcPr>
            <w:tcW w:type="dxa" w:w="22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4 · Source quality flags</w:t>
            </w:r>
          </w:p>
        </w:tc>
        <w:tc>
          <w:tcPr>
            <w:tcW w:type="dxa" w:w="15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APPROVE</w:t>
            </w:r>
          </w:p>
        </w:tc>
        <w:tc>
          <w:tcPr>
            <w:tcW w:type="dxa" w:w="619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Defined and sourced; explicitly not a condition rating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5 · Reporting window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APPROVE</w:t>
            </w:r>
          </w:p>
        </w:tc>
        <w:tc>
          <w:tcPr>
            <w:tcW w:type="dxa" w:w="61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Dates, count, source, and source timestamp are visible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Acceptable variation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 student may choose FIX for either failing tile if the required correction is specific and removes the unsupported public claim.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 student may choose FIX for a cleaner tile when the requested improvement is evidence-based; the form is not graded by matching five labels.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key assesses the reason and release boundary, not agreement with Diane Halvorsen, PE.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Model Note v2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CLAIM / CHECK / RESULT  </w:t>
      </w:r>
      <w:r>
        <w:rPr>
          <w:rFonts w:ascii="Barlow" w:hAnsi="Barlow" w:cs="Barlow"/>
          <w:b w:val="0"/>
          <w:i w:val="0"/>
          <w:sz w:val="19"/>
        </w:rPr>
        <w:t>CLAIM — FOREMAN asks to publish a five-tile county dashboard without human review. CHECK — I checked each tile for a definition, units, source, timestamp, and whether its claim matches prior evidence. RESULT — hold publish until the undefined score and recycled worsening trend are removed or corrected; the three defined source-status tiles may remain.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Spoiler boundary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Diane Halvorsen, PE is skeptical. Wes Tanaka, EIT is tired and does not co-solve.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preview later chart tricks, pipeline defects, or Exam 1 details.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Use only Diane Halvorsen, PE; Wes Tanaka, EIT; Otter Bend; and FOREMAN.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M11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M11  ·  INSTRUCTOR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2027-03-09T12:00:00Z</dcterms:created>
  <dcterms:modified xsi:type="dcterms:W3CDTF">2027-03-09T12:00:00Z</dcterms:modified>
  <cp:category/>
</cp:coreProperties>
</file>