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2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42"/>
        </w:rPr>
        <w:t>What is in this pack</w:t>
      </w:r>
    </w:p>
    <w:p>
      <w:pPr>
        <w:spacing w:before="0" w:after="200" w:line="276" w:lineRule="auto"/>
      </w:pPr>
      <w:r>
        <w:rPr>
          <w:rFonts w:ascii="Barlow" w:hAnsi="Barlow" w:cs="Barlow"/>
          <w:b w:val="0"/>
          <w:i w:val="0"/>
          <w:color w:val="6B7280"/>
          <w:sz w:val="18"/>
        </w:rPr>
        <w:t>Folders are in teaching order. M09 adds a precision audit, a random-sampling demonstrator, and a sampling-frame check without teaching M10's interval methods early.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3960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5"/>
              </w:rPr>
              <w:t>Folder</w:t>
            </w:r>
          </w:p>
        </w:tc>
        <w:tc>
          <w:tcPr>
            <w:tcW w:type="dxa" w:w="5976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5"/>
              </w:rPr>
              <w:t>Purpose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00-INSTRUCTOR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Run-of-day desk, faculty brief, source SAY notes, and this index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01-BRAND-KIT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ACMEJOB logos, fonts, templates, and brand guide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02-M01-first-day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Rules versus learned patterns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03-M02-measurement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Measurement, resolution, uncertainty, and G6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04-M03-hallucination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Next-token generation and source checking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05-CHARTS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Reusable meeting-deck charts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06-BRIDGE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Reusable bridge illustrations and schematics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07-HW-CASE-B-LIFT-STATION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M02 transfer homework and instructor key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08-M04-one-number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Center, spread, CV, low count, and sample scope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09-M05-overnight-alarm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Agent loop, threshold alarm, and unresolved event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10-M06-alarm-audit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Distribution audit, traffic corroboration, and Unit 1 handoff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11-M07-training-mismatch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Training bias, distribution shift, and Unit 2 note v2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12-M08-spurious-correlation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Correlation, regression, thermal confound, and HW4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13-M09-false-precision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Overconfidence, false precision, random sampling, and sampling variability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13-M09-false-precision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80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4"/>
              </w:rPr>
              <w:t>File</w:t>
            </w:r>
          </w:p>
        </w:tc>
        <w:tc>
          <w:tcPr>
            <w:tcW w:type="dxa" w:w="5256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4"/>
              </w:rPr>
              <w:t>What it is</w:t>
            </w:r>
          </w:p>
        </w:tc>
      </w:tr>
      <w:tr>
        <w:tc>
          <w:tcPr>
            <w:tcW w:type="dxa" w:w="468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M09-student.pptx</w:t>
            </w:r>
          </w:p>
        </w:tc>
        <w:tc>
          <w:tcPr>
            <w:tcW w:type="dxa" w:w="525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Spoiler-safe precision and sampling deck with Cloud-PASS Oli SAY</w:t>
            </w:r>
          </w:p>
        </w:tc>
      </w:tr>
      <w:tr>
        <w:tc>
          <w:tcPr>
            <w:tcW w:type="dxa" w:w="468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M09-instructor-reveal.pptx</w:t>
            </w:r>
          </w:p>
        </w:tc>
        <w:tc>
          <w:tcPr>
            <w:tcW w:type="dxa" w:w="525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Gated precision audit, sample means, and bounded response</w:t>
            </w:r>
          </w:p>
        </w:tc>
      </w:tr>
      <w:tr>
        <w:tc>
          <w:tcPr>
            <w:tcW w:type="dxa" w:w="468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FOREMAN-M09-fatigue-life-output.docx</w:t>
            </w:r>
          </w:p>
        </w:tc>
        <w:tc>
          <w:tcPr>
            <w:tcW w:type="dxa" w:w="525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Designed overprecision from coarse, scattered inputs</w:t>
            </w:r>
          </w:p>
        </w:tc>
      </w:tr>
      <w:tr>
        <w:tc>
          <w:tcPr>
            <w:tcW w:type="dxa" w:w="468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H9-01-fatigue-evidence-guide.docx</w:t>
            </w:r>
          </w:p>
        </w:tc>
        <w:tc>
          <w:tcPr>
            <w:tcW w:type="dxa" w:w="525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Fatigue fields, units, resolution, and audit checks</w:t>
            </w:r>
          </w:p>
        </w:tc>
      </w:tr>
      <w:tr>
        <w:tc>
          <w:tcPr>
            <w:tcW w:type="dxa" w:w="468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H9-02-precision-audit.docx</w:t>
            </w:r>
          </w:p>
        </w:tc>
        <w:tc>
          <w:tcPr>
            <w:tcW w:type="dxa" w:w="525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Digit trace and defensible-reporting worksheet</w:t>
            </w:r>
          </w:p>
        </w:tc>
      </w:tr>
      <w:tr>
        <w:tc>
          <w:tcPr>
            <w:tcW w:type="dxa" w:w="468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H9-03-concepts-and-reporting.docx</w:t>
            </w:r>
          </w:p>
        </w:tc>
        <w:tc>
          <w:tcPr>
            <w:tcW w:type="dxa" w:w="525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Five concepts and significant-figures boundary</w:t>
            </w:r>
          </w:p>
        </w:tc>
      </w:tr>
      <w:tr>
        <w:tc>
          <w:tcPr>
            <w:tcW w:type="dxa" w:w="468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H9-04-random-sampling-lab.docx</w:t>
            </w:r>
          </w:p>
        </w:tc>
        <w:tc>
          <w:tcPr>
            <w:tcW w:type="dxa" w:w="525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Twelve deterministic random draws of n = 8</w:t>
            </w:r>
          </w:p>
        </w:tc>
      </w:tr>
      <w:tr>
        <w:tc>
          <w:tcPr>
            <w:tcW w:type="dxa" w:w="468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H9-05-core-sampling-frame-audit.docx</w:t>
            </w:r>
          </w:p>
        </w:tc>
        <w:tc>
          <w:tcPr>
            <w:tcW w:type="dxa" w:w="525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Shoulder-only convenience-sample audit</w:t>
            </w:r>
          </w:p>
        </w:tc>
      </w:tr>
      <w:tr>
        <w:tc>
          <w:tcPr>
            <w:tcW w:type="dxa" w:w="468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H9-06-note-v2-and-decision-log.docx</w:t>
            </w:r>
          </w:p>
        </w:tc>
        <w:tc>
          <w:tcPr>
            <w:tcW w:type="dxa" w:w="525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Claim/check/result and project-hour record</w:t>
            </w:r>
          </w:p>
        </w:tc>
      </w:tr>
      <w:tr>
        <w:tc>
          <w:tcPr>
            <w:tcW w:type="dxa" w:w="468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fatigue_tests.csv + M09-fatigue-summary.csv</w:t>
            </w:r>
          </w:p>
        </w:tc>
        <w:tc>
          <w:tcPr>
            <w:tcW w:type="dxa" w:w="525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Synthetic tests and deterministic summary</w:t>
            </w:r>
          </w:p>
        </w:tc>
      </w:tr>
      <w:tr>
        <w:tc>
          <w:tcPr>
            <w:tcW w:type="dxa" w:w="468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core_population_200_simulated.csv</w:t>
            </w:r>
          </w:p>
        </w:tc>
        <w:tc>
          <w:tcPr>
            <w:tcW w:type="dxa" w:w="525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Sampling demonstrator; explicitly not bridge evidence</w:t>
            </w:r>
          </w:p>
        </w:tc>
      </w:tr>
      <w:tr>
        <w:tc>
          <w:tcPr>
            <w:tcW w:type="dxa" w:w="468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M09-random-samples-n8.csv</w:t>
            </w:r>
          </w:p>
        </w:tc>
        <w:tc>
          <w:tcPr>
            <w:tcW w:type="dxa" w:w="525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Deterministic sample IDs and statistics</w:t>
            </w:r>
          </w:p>
        </w:tc>
      </w:tr>
      <w:tr>
        <w:tc>
          <w:tcPr>
            <w:tcW w:type="dxa" w:w="468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cores_2027.csv</w:t>
            </w:r>
          </w:p>
        </w:tc>
        <w:tc>
          <w:tcPr>
            <w:tcW w:type="dxa" w:w="525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M04's 24 shoulder cores returned for sampling-frame audit</w:t>
            </w:r>
          </w:p>
        </w:tc>
      </w:tr>
      <w:tr>
        <w:tc>
          <w:tcPr>
            <w:tcW w:type="dxa" w:w="468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KEY-M09-answer-key.docx</w:t>
            </w:r>
          </w:p>
        </w:tc>
        <w:tc>
          <w:tcPr>
            <w:tcW w:type="dxa" w:w="525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Instructor-only values, reporting model, and boundaries</w:t>
            </w:r>
          </w:p>
        </w:tc>
      </w:tr>
      <w:tr>
        <w:tc>
          <w:tcPr>
            <w:tcW w:type="dxa" w:w="468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../00-INSTRUCTOR/source-notes/M09-story-SAY.md</w:t>
            </w:r>
          </w:p>
        </w:tc>
        <w:tc>
          <w:tcPr>
            <w:tcW w:type="dxa" w:w="525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Cloud re-check PASS canon SAY with repaired Inbox timing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224" w:right="1152" w:bottom="1152" w:left="1152" w:header="576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tabs>
        <w:tab w:val="right" w:pos="9936"/>
      </w:tabs>
    </w:pPr>
    <w:r>
      <w:rPr>
        <w:rFonts w:ascii="Barlow" w:hAnsi="Barlow" w:cs="Barlow"/>
        <w:b w:val="0"/>
        <w:i w:val="0"/>
        <w:color w:val="6B7280"/>
        <w:sz w:val="16"/>
      </w:rPr>
      <w:t>SEIS 201  ·  M01 – M09</w:t>
    </w:r>
    <w:r>
      <w:tab/>
    </w:r>
    <w:r>
      <w:rPr>
        <w:rFonts w:ascii="Barlow" w:hAnsi="Barlow"/>
        <w:color w:val="6B7280"/>
        <w:sz w:val="16"/>
      </w:rPr>
      <w:fldChar w:fldCharType="begin"/>
      <w:instrText xml:space="preserve"> PAGE </w:instrText>
      <w:fldChar w:fldCharType="end"/>
    </w:r>
    <w:r>
      <w:rPr>
        <w:rFonts w:ascii="Barlow" w:hAnsi="Barlow"/>
        <w:color w:val="6B7280"/>
        <w:sz w:val="16"/>
      </w:rPr>
      <w:t xml:space="preserve"> of </w:t>
    </w:r>
    <w:r>
      <w:rPr>
        <w:rFonts w:ascii="Barlow" w:hAnsi="Barlow"/>
        <w:color w:val="6B7280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pBdr>
        <w:bottom w:val="single" w:sz="6" w:space="4" w:color="C9CFD6"/>
      </w:pBdr>
    </w:pP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SEIS 201  ·  AI FOR CE/ME ENGINEERS</w:t>
    </w:r>
    <w:r>
      <w:tab/>
      <w:tab/>
    </w: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M01 – M09  ·  FILE INDEX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arlow" w:hAnsi="Barlow" w:eastAsia="Barlo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2027-03-02T12:00:00Z</dcterms:created>
  <dcterms:modified xsi:type="dcterms:W3CDTF">2027-03-02T12:00:00Z</dcterms:modified>
  <cp:category/>
</cp:coreProperties>
</file>