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INSTRUCTOR-GUIDE-M01-M04.docx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primary bridge assets, optional locator, usage notes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why-this-way.html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Faculty briefing: rationale, benefits, outcomes, assessment and Q&amp;A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run-of-day/index.html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Newsletter-style podium desk linking M01–M04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run-of-day/M01-run-of-day.html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script and handouts for M01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run-of-day/M02-run-of-day.html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Spoiler-safe deck switch, G6 reveal and Case B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run-of-day/M03-run-of-day.html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source-check script and reveals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run-of-day/M04-run-of-day.html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Spoiler-safe statistics hunt, deck switch and key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11 slides — project first; contains no gauge answer tables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9 slides — keep closed until after students struggle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08-M04-one-number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M04-student.pptx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12 slides — project first; no spread or low-count answers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M04-instructor-reveal.pptx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slides — keep closed through the spreadsheet hunt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H4-01-diane-one-number-ask.docx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brief and six-hour menu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H4-02-spreadsheet-hunt.docx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Center, spread, CV, low count and sample scope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H4-03-foreman-core-summary.docx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Correct mean, unsupported adequacy conclusion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H4-04-three-sentence-brief.docx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Student hand-in and note v1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cores_2027.csv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shoulder core strengths; M04 and later M09 input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KEY-M04-answer-key.docx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Statistics, model brief, guardrails and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otter-bend-lift-bridge-flat-claude.png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otter-bend-site-location.png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site map: Otter Bend, Kinnickville, County Road 9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Optional backup: simpler fictional-site locator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M04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