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Deck Panel History — D. Halvorsen field notes</w:t>
      </w:r>
    </w:p>
    <w:p>
      <w:pPr>
        <w:spacing w:before="0" w:after="200" w:line="276" w:lineRule="auto"/>
      </w:pPr>
      <w:r>
        <w:rPr>
          <w:rFonts w:ascii="Barlow" w:hAnsi="Barlow" w:cs="Barlow"/>
          <w:b w:val="0"/>
          <w:i/>
          <w:color w:val="6B7280"/>
          <w:sz w:val="18"/>
        </w:rPr>
        <w:t>Transcribed from the 2019 biennial inspection field book. Same six panels FOREMAN assessed. Ratings on the same 9-point scale.</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152"/>
            <w:shd w:val="clear" w:color="auto" w:fill="1F3A5F"/>
          </w:tcPr>
          <w:p>
            <w:pPr>
              <w:spacing w:before="20" w:after="20" w:line="252" w:lineRule="auto"/>
              <w:jc w:val="center"/>
            </w:pPr>
            <w:r>
              <w:rPr>
                <w:rFonts w:ascii="Barlow Condensed" w:hAnsi="Barlow Condensed" w:cs="Barlow Condensed"/>
                <w:b/>
                <w:i w:val="0"/>
                <w:color w:val="FFFFFF"/>
                <w:sz w:val="19"/>
              </w:rPr>
              <w:t>Panel</w:t>
            </w:r>
          </w:p>
        </w:tc>
        <w:tc>
          <w:tcPr>
            <w:tcW w:type="dxa" w:w="1440"/>
            <w:shd w:val="clear" w:color="auto" w:fill="1F3A5F"/>
          </w:tcPr>
          <w:p>
            <w:pPr>
              <w:spacing w:before="20" w:after="20" w:line="252" w:lineRule="auto"/>
              <w:jc w:val="center"/>
            </w:pPr>
            <w:r>
              <w:rPr>
                <w:rFonts w:ascii="Barlow Condensed" w:hAnsi="Barlow Condensed" w:cs="Barlow Condensed"/>
                <w:b/>
                <w:i w:val="0"/>
                <w:color w:val="FFFFFF"/>
                <w:sz w:val="19"/>
              </w:rPr>
              <w:t>2019 rating</w:t>
            </w:r>
          </w:p>
        </w:tc>
        <w:tc>
          <w:tcPr>
            <w:tcW w:type="dxa" w:w="5328"/>
            <w:shd w:val="clear" w:color="auto" w:fill="1F3A5F"/>
          </w:tcPr>
          <w:p>
            <w:pPr>
              <w:spacing w:before="20" w:after="20" w:line="252" w:lineRule="auto"/>
            </w:pPr>
            <w:r>
              <w:rPr>
                <w:rFonts w:ascii="Barlow Condensed" w:hAnsi="Barlow Condensed" w:cs="Barlow Condensed"/>
                <w:b/>
                <w:i w:val="0"/>
                <w:color w:val="FFFFFF"/>
                <w:sz w:val="19"/>
              </w:rPr>
              <w:t>What I saw</w:t>
            </w:r>
          </w:p>
        </w:tc>
        <w:tc>
          <w:tcPr>
            <w:tcW w:type="dxa" w:w="2016"/>
            <w:shd w:val="clear" w:color="auto" w:fill="1F3A5F"/>
          </w:tcPr>
          <w:p>
            <w:pPr>
              <w:spacing w:before="20" w:after="20" w:line="252" w:lineRule="auto"/>
            </w:pPr>
            <w:r>
              <w:rPr>
                <w:rFonts w:ascii="Barlow Condensed" w:hAnsi="Barlow Condensed" w:cs="Barlow Condensed"/>
                <w:b/>
                <w:i w:val="0"/>
                <w:color w:val="FFFFFF"/>
                <w:sz w:val="19"/>
              </w:rPr>
              <w:t>Note</w:t>
            </w:r>
          </w:p>
        </w:tc>
      </w:tr>
      <w:tr>
        <w:tc>
          <w:tcPr>
            <w:tcW w:type="dxa" w:w="1152"/>
          </w:tcPr>
          <w:p>
            <w:pPr>
              <w:spacing w:before="20" w:after="20" w:line="252" w:lineRule="auto"/>
              <w:jc w:val="center"/>
            </w:pPr>
            <w:r>
              <w:rPr>
                <w:rFonts w:ascii="Barlow" w:hAnsi="Barlow" w:cs="Barlow"/>
                <w:b w:val="0"/>
                <w:i w:val="0"/>
                <w:sz w:val="19"/>
              </w:rPr>
              <w:t>D-12</w:t>
            </w:r>
          </w:p>
        </w:tc>
        <w:tc>
          <w:tcPr>
            <w:tcW w:type="dxa" w:w="1440"/>
          </w:tcPr>
          <w:p>
            <w:pPr>
              <w:spacing w:before="20" w:after="20" w:line="252" w:lineRule="auto"/>
              <w:jc w:val="center"/>
            </w:pPr>
            <w:r>
              <w:rPr>
                <w:rFonts w:ascii="Barlow" w:hAnsi="Barlow" w:cs="Barlow"/>
                <w:b w:val="0"/>
                <w:i w:val="0"/>
                <w:sz w:val="19"/>
              </w:rPr>
              <w:t>7</w:t>
            </w:r>
          </w:p>
        </w:tc>
        <w:tc>
          <w:tcPr>
            <w:tcW w:type="dxa" w:w="5328"/>
          </w:tcPr>
          <w:p>
            <w:pPr>
              <w:spacing w:before="20" w:after="20" w:line="252" w:lineRule="auto"/>
            </w:pPr>
            <w:r>
              <w:rPr>
                <w:rFonts w:ascii="Barlow" w:hAnsi="Barlow" w:cs="Barlow"/>
                <w:b w:val="0"/>
                <w:i w:val="0"/>
                <w:sz w:val="19"/>
              </w:rPr>
              <w:t>Sound. Patched 2015, patch is holding.</w:t>
            </w:r>
          </w:p>
        </w:tc>
        <w:tc>
          <w:tcPr>
            <w:tcW w:type="dxa" w:w="2016"/>
          </w:tcPr>
          <w:p>
            <w:pPr>
              <w:spacing w:before="20" w:after="20" w:line="252" w:lineRule="auto"/>
            </w:pPr>
            <w:r>
              <w:rPr>
                <w:rFonts w:ascii="Barlow" w:hAnsi="Barlow" w:cs="Barlow"/>
                <w:b w:val="0"/>
                <w:i w:val="0"/>
                <w:sz w:val="19"/>
              </w:rPr>
            </w:r>
          </w:p>
        </w:tc>
      </w:tr>
      <w:tr>
        <w:tc>
          <w:tcPr>
            <w:tcW w:type="dxa" w:w="1152"/>
            <w:shd w:val="clear" w:color="auto" w:fill="F4F6F8"/>
          </w:tcPr>
          <w:p>
            <w:pPr>
              <w:spacing w:before="20" w:after="20" w:line="252" w:lineRule="auto"/>
              <w:jc w:val="center"/>
            </w:pPr>
            <w:r>
              <w:rPr>
                <w:rFonts w:ascii="Barlow" w:hAnsi="Barlow" w:cs="Barlow"/>
                <w:b w:val="0"/>
                <w:i w:val="0"/>
                <w:sz w:val="19"/>
              </w:rPr>
              <w:t>D-13</w:t>
            </w:r>
          </w:p>
        </w:tc>
        <w:tc>
          <w:tcPr>
            <w:tcW w:type="dxa" w:w="1440"/>
            <w:shd w:val="clear" w:color="auto" w:fill="F4F6F8"/>
          </w:tcPr>
          <w:p>
            <w:pPr>
              <w:spacing w:before="20" w:after="20" w:line="252" w:lineRule="auto"/>
              <w:jc w:val="center"/>
            </w:pPr>
            <w:r>
              <w:rPr>
                <w:rFonts w:ascii="Barlow" w:hAnsi="Barlow" w:cs="Barlow"/>
                <w:b w:val="0"/>
                <w:i w:val="0"/>
                <w:sz w:val="19"/>
              </w:rPr>
              <w:t>6</w:t>
            </w:r>
          </w:p>
        </w:tc>
        <w:tc>
          <w:tcPr>
            <w:tcW w:type="dxa" w:w="5328"/>
            <w:shd w:val="clear" w:color="auto" w:fill="F4F6F8"/>
          </w:tcPr>
          <w:p>
            <w:pPr>
              <w:spacing w:before="20" w:after="20" w:line="252" w:lineRule="auto"/>
            </w:pPr>
            <w:r>
              <w:rPr>
                <w:rFonts w:ascii="Barlow" w:hAnsi="Barlow" w:cs="Barlow"/>
                <w:b w:val="0"/>
                <w:i w:val="0"/>
                <w:sz w:val="19"/>
              </w:rPr>
              <w:t>Map cracking she has watched since 2016.</w:t>
            </w:r>
          </w:p>
        </w:tc>
        <w:tc>
          <w:tcPr>
            <w:tcW w:type="dxa" w:w="2016"/>
            <w:shd w:val="clear" w:color="auto" w:fill="F4F6F8"/>
          </w:tcPr>
          <w:p>
            <w:pPr>
              <w:spacing w:before="20" w:after="20" w:line="252" w:lineRule="auto"/>
            </w:pPr>
            <w:r>
              <w:rPr>
                <w:rFonts w:ascii="Barlow" w:hAnsi="Barlow" w:cs="Barlow"/>
                <w:b w:val="0"/>
                <w:i w:val="0"/>
                <w:sz w:val="19"/>
              </w:rPr>
            </w:r>
          </w:p>
        </w:tc>
      </w:tr>
      <w:tr>
        <w:tc>
          <w:tcPr>
            <w:tcW w:type="dxa" w:w="1152"/>
          </w:tcPr>
          <w:p>
            <w:pPr>
              <w:spacing w:before="20" w:after="20" w:line="252" w:lineRule="auto"/>
              <w:jc w:val="center"/>
            </w:pPr>
            <w:r>
              <w:rPr>
                <w:rFonts w:ascii="Barlow" w:hAnsi="Barlow" w:cs="Barlow"/>
                <w:b w:val="0"/>
                <w:i w:val="0"/>
                <w:sz w:val="19"/>
              </w:rPr>
              <w:t>D-14</w:t>
            </w:r>
          </w:p>
        </w:tc>
        <w:tc>
          <w:tcPr>
            <w:tcW w:type="dxa" w:w="1440"/>
          </w:tcPr>
          <w:p>
            <w:pPr>
              <w:spacing w:before="20" w:after="20" w:line="252" w:lineRule="auto"/>
              <w:jc w:val="center"/>
            </w:pPr>
            <w:r>
              <w:rPr>
                <w:rFonts w:ascii="Barlow" w:hAnsi="Barlow" w:cs="Barlow"/>
                <w:b w:val="0"/>
                <w:i w:val="0"/>
                <w:sz w:val="19"/>
              </w:rPr>
              <w:t>6</w:t>
            </w:r>
          </w:p>
        </w:tc>
        <w:tc>
          <w:tcPr>
            <w:tcW w:type="dxa" w:w="5328"/>
          </w:tcPr>
          <w:p>
            <w:pPr>
              <w:spacing w:before="20" w:after="20" w:line="252" w:lineRule="auto"/>
            </w:pPr>
            <w:r>
              <w:rPr>
                <w:rFonts w:ascii="Barlow" w:hAnsi="Barlow" w:cs="Barlow"/>
                <w:b w:val="0"/>
                <w:i w:val="0"/>
                <w:sz w:val="19"/>
              </w:rPr>
              <w:t>Spalling at the north joint.</w:t>
            </w:r>
          </w:p>
        </w:tc>
        <w:tc>
          <w:tcPr>
            <w:tcW w:type="dxa" w:w="2016"/>
          </w:tcPr>
          <w:p>
            <w:pPr>
              <w:spacing w:before="20" w:after="20" w:line="252" w:lineRule="auto"/>
            </w:pPr>
            <w:r>
              <w:rPr>
                <w:rFonts w:ascii="Barlow" w:hAnsi="Barlow" w:cs="Barlow"/>
                <w:b w:val="0"/>
                <w:i w:val="0"/>
                <w:sz w:val="19"/>
              </w:rPr>
            </w:r>
          </w:p>
        </w:tc>
      </w:tr>
      <w:tr>
        <w:tc>
          <w:tcPr>
            <w:tcW w:type="dxa" w:w="1152"/>
            <w:shd w:val="clear" w:color="auto" w:fill="F4F6F8"/>
          </w:tcPr>
          <w:p>
            <w:pPr>
              <w:spacing w:before="20" w:after="20" w:line="252" w:lineRule="auto"/>
              <w:jc w:val="center"/>
            </w:pPr>
            <w:r>
              <w:rPr>
                <w:rFonts w:ascii="Barlow" w:hAnsi="Barlow" w:cs="Barlow"/>
                <w:b w:val="0"/>
                <w:i w:val="0"/>
                <w:sz w:val="19"/>
              </w:rPr>
              <w:t>D-15</w:t>
            </w:r>
          </w:p>
        </w:tc>
        <w:tc>
          <w:tcPr>
            <w:tcW w:type="dxa" w:w="1440"/>
            <w:shd w:val="clear" w:color="auto" w:fill="F4F6F8"/>
          </w:tcPr>
          <w:p>
            <w:pPr>
              <w:spacing w:before="20" w:after="20" w:line="252" w:lineRule="auto"/>
              <w:jc w:val="center"/>
            </w:pPr>
            <w:r>
              <w:rPr>
                <w:rFonts w:ascii="Barlow" w:hAnsi="Barlow" w:cs="Barlow"/>
                <w:b w:val="0"/>
                <w:i w:val="0"/>
                <w:sz w:val="19"/>
              </w:rPr>
              <w:t>5</w:t>
            </w:r>
          </w:p>
        </w:tc>
        <w:tc>
          <w:tcPr>
            <w:tcW w:type="dxa" w:w="5328"/>
            <w:shd w:val="clear" w:color="auto" w:fill="F4F6F8"/>
          </w:tcPr>
          <w:p>
            <w:pPr>
              <w:spacing w:before="20" w:after="20" w:line="252" w:lineRule="auto"/>
            </w:pPr>
            <w:r>
              <w:rPr>
                <w:rFonts w:ascii="Barlow" w:hAnsi="Barlow" w:cs="Barlow"/>
                <w:b w:val="0"/>
                <w:i w:val="0"/>
                <w:sz w:val="19"/>
              </w:rPr>
              <w:t>Panel was overlaid in 2018. Overlay hides the deck.</w:t>
            </w:r>
          </w:p>
        </w:tc>
        <w:tc>
          <w:tcPr>
            <w:tcW w:type="dxa" w:w="2016"/>
            <w:shd w:val="clear" w:color="auto" w:fill="F4F6F8"/>
          </w:tcPr>
          <w:p>
            <w:pPr>
              <w:spacing w:before="20" w:after="20" w:line="252" w:lineRule="auto"/>
            </w:pPr>
            <w:r>
              <w:rPr>
                <w:rFonts w:ascii="Barlow" w:hAnsi="Barlow" w:cs="Barlow"/>
                <w:b w:val="0"/>
                <w:i w:val="0"/>
                <w:sz w:val="19"/>
              </w:rPr>
            </w:r>
          </w:p>
        </w:tc>
      </w:tr>
      <w:tr>
        <w:tc>
          <w:tcPr>
            <w:tcW w:type="dxa" w:w="1152"/>
          </w:tcPr>
          <w:p>
            <w:pPr>
              <w:spacing w:before="20" w:after="20" w:line="252" w:lineRule="auto"/>
              <w:jc w:val="center"/>
            </w:pPr>
            <w:r>
              <w:rPr>
                <w:rFonts w:ascii="Barlow" w:hAnsi="Barlow" w:cs="Barlow"/>
                <w:b w:val="0"/>
                <w:i w:val="0"/>
                <w:sz w:val="19"/>
              </w:rPr>
              <w:t>D-16</w:t>
            </w:r>
          </w:p>
        </w:tc>
        <w:tc>
          <w:tcPr>
            <w:tcW w:type="dxa" w:w="1440"/>
          </w:tcPr>
          <w:p>
            <w:pPr>
              <w:spacing w:before="20" w:after="20" w:line="252" w:lineRule="auto"/>
              <w:jc w:val="center"/>
            </w:pPr>
            <w:r>
              <w:rPr>
                <w:rFonts w:ascii="Barlow" w:hAnsi="Barlow" w:cs="Barlow"/>
                <w:b w:val="0"/>
                <w:i w:val="0"/>
                <w:sz w:val="19"/>
              </w:rPr>
              <w:t>6</w:t>
            </w:r>
          </w:p>
        </w:tc>
        <w:tc>
          <w:tcPr>
            <w:tcW w:type="dxa" w:w="5328"/>
          </w:tcPr>
          <w:p>
            <w:pPr>
              <w:spacing w:before="20" w:after="20" w:line="252" w:lineRule="auto"/>
            </w:pPr>
            <w:r>
              <w:rPr>
                <w:rFonts w:ascii="Barlow" w:hAnsi="Barlow" w:cs="Barlow"/>
                <w:b w:val="0"/>
                <w:i w:val="0"/>
                <w:sz w:val="19"/>
              </w:rPr>
              <w:t>Delamination, sounded by chain drag.</w:t>
            </w:r>
          </w:p>
        </w:tc>
        <w:tc>
          <w:tcPr>
            <w:tcW w:type="dxa" w:w="2016"/>
          </w:tcPr>
          <w:p>
            <w:pPr>
              <w:spacing w:before="20" w:after="20" w:line="252" w:lineRule="auto"/>
            </w:pPr>
            <w:r>
              <w:rPr>
                <w:rFonts w:ascii="Barlow" w:hAnsi="Barlow" w:cs="Barlow"/>
                <w:b w:val="0"/>
                <w:i w:val="0"/>
                <w:sz w:val="19"/>
              </w:rPr>
            </w:r>
          </w:p>
        </w:tc>
      </w:tr>
      <w:tr>
        <w:tc>
          <w:tcPr>
            <w:tcW w:type="dxa" w:w="1152"/>
            <w:shd w:val="clear" w:color="auto" w:fill="F4F6F8"/>
          </w:tcPr>
          <w:p>
            <w:pPr>
              <w:spacing w:before="20" w:after="20" w:line="252" w:lineRule="auto"/>
              <w:jc w:val="center"/>
            </w:pPr>
            <w:r>
              <w:rPr>
                <w:rFonts w:ascii="Barlow" w:hAnsi="Barlow" w:cs="Barlow"/>
                <w:b w:val="0"/>
                <w:i w:val="0"/>
                <w:sz w:val="19"/>
              </w:rPr>
              <w:t>D-17</w:t>
            </w:r>
          </w:p>
        </w:tc>
        <w:tc>
          <w:tcPr>
            <w:tcW w:type="dxa" w:w="1440"/>
            <w:shd w:val="clear" w:color="auto" w:fill="F4F6F8"/>
          </w:tcPr>
          <w:p>
            <w:pPr>
              <w:spacing w:before="20" w:after="20" w:line="252" w:lineRule="auto"/>
              <w:jc w:val="center"/>
            </w:pPr>
            <w:r>
              <w:rPr>
                <w:rFonts w:ascii="Barlow" w:hAnsi="Barlow" w:cs="Barlow"/>
                <w:b w:val="0"/>
                <w:i w:val="0"/>
                <w:sz w:val="19"/>
              </w:rPr>
              <w:t>7</w:t>
            </w:r>
          </w:p>
        </w:tc>
        <w:tc>
          <w:tcPr>
            <w:tcW w:type="dxa" w:w="5328"/>
            <w:shd w:val="clear" w:color="auto" w:fill="F4F6F8"/>
          </w:tcPr>
          <w:p>
            <w:pPr>
              <w:spacing w:before="20" w:after="20" w:line="252" w:lineRule="auto"/>
            </w:pPr>
            <w:r>
              <w:rPr>
                <w:rFonts w:ascii="Barlow" w:hAnsi="Barlow" w:cs="Barlow"/>
                <w:b w:val="0"/>
                <w:i w:val="0"/>
                <w:sz w:val="19"/>
              </w:rPr>
              <w:t>Sound.</w:t>
            </w:r>
          </w:p>
        </w:tc>
        <w:tc>
          <w:tcPr>
            <w:tcW w:type="dxa" w:w="2016"/>
            <w:shd w:val="clear" w:color="auto" w:fill="F4F6F8"/>
          </w:tcPr>
          <w:p>
            <w:pPr>
              <w:spacing w:before="20" w:after="20" w:line="252" w:lineRule="auto"/>
            </w:pPr>
            <w:r>
              <w:rPr>
                <w:rFonts w:ascii="Barlow" w:hAnsi="Barlow" w:cs="Barlow"/>
                <w:b w:val="0"/>
                <w:i w:val="0"/>
                <w:sz w:val="19"/>
              </w:rPr>
            </w:r>
          </w:p>
        </w:tc>
      </w:tr>
    </w:tbl>
    <w:p>
      <w:pPr>
        <w:spacing w:before="0" w:after="120" w:line="276" w:lineRule="auto"/>
      </w:pPr>
    </w:p>
    <w:p>
      <w:pPr>
        <w:spacing w:before="80" w:after="120" w:line="276" w:lineRule="auto"/>
        <w:ind w:left="288"/>
      </w:pPr>
      <w:r>
        <w:rPr>
          <w:rFonts w:ascii="Caveat" w:hAnsi="Caveat" w:cs="Caveat"/>
          <w:b w:val="0"/>
          <w:i w:val="0"/>
          <w:color w:val="1F3A5F"/>
          <w:sz w:val="26"/>
        </w:rPr>
        <w:t>D-15 was overlaid in 2018. You cannot see the deck. Do not let anyone tell you it improved. — D.H.</w:t>
      </w:r>
    </w:p>
    <w:p>
      <w:pPr>
        <w:spacing w:before="260" w:after="80" w:line="240" w:lineRule="auto"/>
      </w:pPr>
      <w:r>
        <w:rPr>
          <w:rFonts w:ascii="Barlow Condensed" w:hAnsi="Barlow Condensed" w:cs="Barlow Condensed"/>
          <w:b/>
          <w:i w:val="0"/>
          <w:color w:val="1F3A5F"/>
          <w:sz w:val="25"/>
          <w:caps w:val="1"/>
          <w:spacing w:val="12"/>
        </w:rPr>
        <w:t>Why this file exists</w:t>
      </w:r>
    </w:p>
    <w:p>
      <w:pPr>
        <w:spacing w:before="0" w:after="160" w:line="276" w:lineRule="auto"/>
      </w:pPr>
      <w:r>
        <w:rPr>
          <w:rFonts w:ascii="Barlow" w:hAnsi="Barlow" w:cs="Barlow"/>
          <w:b w:val="0"/>
          <w:i w:val="0"/>
          <w:sz w:val="20"/>
        </w:rPr>
        <w:t>A condition rating is a judgement about a thing you often cannot see. The 2019 ratings were made by a person who could tap the deck with a hammer, drag a chain across it and listen, and who remembered what was done to each panel and when. A photograph carries none of that.</w:t>
      </w:r>
    </w:p>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Compare  </w:t>
      </w:r>
      <w:r>
        <w:rPr>
          <w:rFonts w:ascii="Barlow" w:hAnsi="Barlow" w:cs="Barlow"/>
          <w:b w:val="0"/>
          <w:i w:val="0"/>
          <w:sz w:val="19"/>
        </w:rPr>
        <w:t>Put FOREMAN's 2027 ratings next to the 2019 ratings, panel by panel. Five panels are close. One is not. Before you decide who is right, ask what each source could possibly have known.</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Otter Bend Lift Bridge  ·  Kinnick County Project 27-114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drawing>
        <wp:inline xmlns:a="http://schemas.openxmlformats.org/drawingml/2006/main" xmlns:pic="http://schemas.openxmlformats.org/drawingml/2006/picture">
          <wp:extent cx="1182515" cy="310896"/>
          <wp:docPr id="1" name="Picture 1"/>
          <wp:cNvGraphicFramePr>
            <a:graphicFrameLocks noChangeAspect="1"/>
          </wp:cNvGraphicFramePr>
          <a:graphic>
            <a:graphicData uri="http://schemas.openxmlformats.org/drawingml/2006/picture">
              <pic:pic>
                <pic:nvPicPr>
                  <pic:cNvPr id="0" name="acmejob-logo-horizontal.png"/>
                  <pic:cNvPicPr/>
                </pic:nvPicPr>
                <pic:blipFill>
                  <a:blip r:embed="rId1"/>
                  <a:stretch>
                    <a:fillRect/>
                  </a:stretch>
                </pic:blipFill>
                <pic:spPr>
                  <a:xfrm>
                    <a:off x="0" y="0"/>
                    <a:ext cx="1182515" cy="310896"/>
                  </a:xfrm>
                  <a:prstGeom prst="rect"/>
                </pic:spPr>
              </pic:pic>
            </a:graphicData>
          </a:graphic>
        </wp:inline>
      </w:drawing>
    </w:r>
  </w:p>
  <w:p>
    <w:pPr>
      <w:spacing w:before="0" w:after="60"/>
      <w:pBdr>
        <w:bottom w:val="single" w:sz="6" w:space="4" w:color="C9CFD6"/>
      </w:pBdr>
    </w:pPr>
    <w:r>
      <w:rPr>
        <w:rFonts w:ascii="Barlow Condensed" w:hAnsi="Barlow Condensed" w:cs="Barlow Condensed"/>
        <w:b w:val="0"/>
        <w:i w:val="0"/>
        <w:color w:val="6B7280"/>
        <w:sz w:val="17"/>
        <w:caps w:val="1"/>
        <w:spacing w:val="20"/>
      </w:rPr>
      <w:t>Field File  ·  Otter Bend Deck Panels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