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10" w:type="dxa"/>
          <w:left w:w="0" w:type="dxa"/>
          <w:bottom w:w="10" w:type="dxa"/>
          <w:right w:w="60" w:type="dxa"/>
        </w:tblCellMar>
      </w:tblPr>
      <w:tblGrid>
        <w:gridCol w:w="4968"/>
        <w:gridCol w:w="4968"/>
      </w:tblGrid>
      <w:tr>
        <w:tc>
          <w:tcPr>
            <w:tcW w:type="dxa" w:w="893"/>
          </w:tcPr>
          <w:p>
            <w:pPr>
              <w:spacing w:after="0"/>
            </w:pPr>
            <w:r>
              <w:rPr>
                <w:rFonts w:ascii="Barlow Condensed" w:hAnsi="Barlow Condensed" w:cs="Barlow Condensed"/>
                <w:b/>
                <w:i w:val="0"/>
                <w:color w:val="6B7280"/>
                <w:sz w:val="17"/>
                <w:caps w:val="1"/>
                <w:spacing w:val="16"/>
              </w:rPr>
              <w:t>TO</w:t>
            </w:r>
          </w:p>
        </w:tc>
        <w:tc>
          <w:tcPr>
            <w:tcW w:type="dxa" w:w="9043"/>
          </w:tcPr>
          <w:p>
            <w:pPr>
              <w:spacing w:after="0"/>
            </w:pPr>
            <w:r>
              <w:rPr>
                <w:rFonts w:ascii="Barlow" w:hAnsi="Barlow" w:cs="Barlow"/>
                <w:b w:val="0"/>
                <w:i w:val="0"/>
                <w:sz w:val="20"/>
              </w:rPr>
              <w:t>You</w:t>
            </w:r>
          </w:p>
        </w:tc>
      </w:tr>
      <w:tr>
        <w:tc>
          <w:tcPr>
            <w:tcW w:type="dxa" w:w="893"/>
          </w:tcPr>
          <w:p>
            <w:pPr>
              <w:spacing w:after="0"/>
            </w:pPr>
            <w:r>
              <w:rPr>
                <w:rFonts w:ascii="Barlow Condensed" w:hAnsi="Barlow Condensed" w:cs="Barlow Condensed"/>
                <w:b/>
                <w:i w:val="0"/>
                <w:color w:val="6B7280"/>
                <w:sz w:val="17"/>
                <w:caps w:val="1"/>
                <w:spacing w:val="16"/>
              </w:rPr>
              <w:t>FROM</w:t>
            </w:r>
          </w:p>
        </w:tc>
        <w:tc>
          <w:tcPr>
            <w:tcW w:type="dxa" w:w="9043"/>
          </w:tcPr>
          <w:p>
            <w:pPr>
              <w:spacing w:after="0"/>
            </w:pPr>
            <w:r>
              <w:rPr>
                <w:rFonts w:ascii="Barlow" w:hAnsi="Barlow" w:cs="Barlow"/>
                <w:b w:val="0"/>
                <w:i w:val="0"/>
                <w:sz w:val="20"/>
              </w:rPr>
              <w:t>Diane Halvorsen, PE</w:t>
            </w:r>
          </w:p>
        </w:tc>
      </w:tr>
      <w:tr>
        <w:tc>
          <w:tcPr>
            <w:tcW w:type="dxa" w:w="893"/>
          </w:tcPr>
          <w:p>
            <w:pPr>
              <w:spacing w:after="0"/>
            </w:pPr>
            <w:r>
              <w:rPr>
                <w:rFonts w:ascii="Barlow Condensed" w:hAnsi="Barlow Condensed" w:cs="Barlow Condensed"/>
                <w:b/>
                <w:i w:val="0"/>
                <w:color w:val="6B7280"/>
                <w:sz w:val="17"/>
                <w:caps w:val="1"/>
                <w:spacing w:val="16"/>
              </w:rPr>
              <w:t>DATE</w:t>
            </w:r>
          </w:p>
        </w:tc>
        <w:tc>
          <w:tcPr>
            <w:tcW w:type="dxa" w:w="9043"/>
          </w:tcPr>
          <w:p>
            <w:pPr>
              <w:spacing w:after="0"/>
            </w:pPr>
            <w:r>
              <w:rPr>
                <w:rFonts w:ascii="Barlow" w:hAnsi="Barlow" w:cs="Barlow"/>
                <w:b w:val="0"/>
                <w:i w:val="0"/>
                <w:sz w:val="20"/>
              </w:rPr>
              <w:t>Thursday, February 4, 2027</w:t>
            </w:r>
          </w:p>
        </w:tc>
      </w:tr>
      <w:tr>
        <w:tc>
          <w:tcPr>
            <w:tcW w:type="dxa" w:w="893"/>
          </w:tcPr>
          <w:p>
            <w:pPr>
              <w:spacing w:after="0"/>
            </w:pPr>
            <w:r>
              <w:rPr>
                <w:rFonts w:ascii="Barlow Condensed" w:hAnsi="Barlow Condensed" w:cs="Barlow Condensed"/>
                <w:b/>
                <w:i w:val="0"/>
                <w:color w:val="6B7280"/>
                <w:sz w:val="17"/>
                <w:caps w:val="1"/>
                <w:spacing w:val="16"/>
              </w:rPr>
              <w:t>RE</w:t>
            </w:r>
          </w:p>
        </w:tc>
        <w:tc>
          <w:tcPr>
            <w:tcW w:type="dxa" w:w="9043"/>
          </w:tcPr>
          <w:p>
            <w:pPr>
              <w:spacing w:after="0"/>
            </w:pPr>
            <w:r>
              <w:rPr>
                <w:rFonts w:ascii="Barlow" w:hAnsi="Barlow" w:cs="Barlow"/>
                <w:b/>
                <w:i w:val="0"/>
                <w:sz w:val="20"/>
              </w:rPr>
              <w:t>HW1 — The gauge baseline, before I sign anything</w:t>
            </w:r>
          </w:p>
        </w:tc>
      </w:tr>
    </w:tbl>
    <w:p>
      <w:pPr>
        <w:spacing w:before="20" w:after="180" w:line="240" w:lineRule="auto"/>
        <w:pBdr>
          <w:bottom w:val="single" w:sz="6" w:space="4" w:color="C9CFD6"/>
        </w:pBdr>
      </w:pPr>
    </w:p>
    <w:p>
      <w:pPr>
        <w:spacing w:before="0" w:after="160" w:line="276" w:lineRule="auto"/>
      </w:pPr>
      <w:r>
        <w:rPr>
          <w:rFonts w:ascii="Barlow" w:hAnsi="Barlow" w:cs="Barlow"/>
          <w:b w:val="0"/>
          <w:i w:val="0"/>
          <w:sz w:val="20"/>
        </w:rPr>
        <w:t>FOREMAN cleared the strain gauge array this morning. Northline will invoice us for the install as soon as we accept it, and the February load response study runs off these gauges. So I would like a second pair of eyes before I accept anything.</w:t>
      </w:r>
    </w:p>
    <w:p>
      <w:pPr>
        <w:spacing w:before="0" w:after="200" w:line="276" w:lineRule="auto"/>
      </w:pPr>
      <w:r>
        <w:rPr>
          <w:rFonts w:ascii="Barlow" w:hAnsi="Barlow" w:cs="Barlow"/>
          <w:b w:val="0"/>
          <w:i w:val="0"/>
          <w:sz w:val="20"/>
        </w:rPr>
        <w:t>I do not want an essay. I want to know whether the array is good.</w:t>
      </w:r>
    </w:p>
    <w:p>
      <w:pPr>
        <w:spacing w:before="40" w:after="80" w:line="240" w:lineRule="auto"/>
      </w:pPr>
      <w:r>
        <w:rPr>
          <w:rFonts w:ascii="Barlow Condensed" w:hAnsi="Barlow Condensed" w:cs="Barlow Condensed"/>
          <w:b/>
          <w:i w:val="0"/>
          <w:color w:val="1F3A5F"/>
          <w:sz w:val="25"/>
          <w:caps w:val="1"/>
          <w:spacing w:val="12"/>
        </w:rPr>
        <w:t>What to hand in</w:t>
      </w:r>
    </w:p>
    <w:p>
      <w:pPr>
        <w:pStyle w:val="ListNumber"/>
        <w:spacing w:after="60" w:line="269" w:lineRule="auto"/>
        <w:ind w:left="346"/>
      </w:pPr>
      <w:r>
        <w:rPr>
          <w:rFonts w:ascii="Barlow" w:hAnsi="Barlow" w:cs="Barlow"/>
          <w:b w:val="0"/>
          <w:i w:val="0"/>
          <w:sz w:val="20"/>
        </w:rPr>
        <w:t>Open gauges_install.csv. For each of the eight gauges, report the mean of its twelve readings and the spread (largest minus smallest).</w:t>
      </w:r>
    </w:p>
    <w:p>
      <w:pPr>
        <w:pStyle w:val="ListNumber"/>
        <w:spacing w:after="60" w:line="269" w:lineRule="auto"/>
        <w:ind w:left="346"/>
      </w:pPr>
      <w:r>
        <w:rPr>
          <w:rFonts w:ascii="Barlow" w:hAnsi="Barlow" w:cs="Barlow"/>
          <w:b w:val="0"/>
          <w:i w:val="0"/>
          <w:sz w:val="20"/>
        </w:rPr>
        <w:t>Check each gauge against the ±25 µε limit in KC-MB-12 §4.3, one gauge at a time. State which gauges pass and which do not.</w:t>
      </w:r>
    </w:p>
    <w:p>
      <w:pPr>
        <w:pStyle w:val="ListNumber"/>
        <w:spacing w:after="60" w:line="269" w:lineRule="auto"/>
        <w:ind w:left="346"/>
      </w:pPr>
      <w:r>
        <w:rPr>
          <w:rFonts w:ascii="Barlow" w:hAnsi="Barlow" w:cs="Barlow"/>
          <w:b w:val="0"/>
          <w:i w:val="0"/>
          <w:sz w:val="20"/>
        </w:rPr>
        <w:t>FOREMAN reported an array baseline offset of 23.062500 µε and called it a pass. Say in two or three sentences whether you agree, and why.</w:t>
      </w:r>
    </w:p>
    <w:p>
      <w:pPr>
        <w:pStyle w:val="ListNumber"/>
        <w:spacing w:after="60" w:line="269" w:lineRule="auto"/>
        <w:ind w:left="346"/>
      </w:pPr>
      <w:r>
        <w:rPr>
          <w:rFonts w:ascii="Barlow" w:hAnsi="Barlow" w:cs="Barlow"/>
          <w:b w:val="0"/>
          <w:i w:val="0"/>
          <w:sz w:val="20"/>
        </w:rPr>
        <w:t>Your note, version 1. One sentence.</w:t>
      </w:r>
    </w:p>
    <w:p>
      <w:pPr>
        <w:spacing w:before="260" w:after="80" w:line="240" w:lineRule="auto"/>
      </w:pPr>
      <w:r>
        <w:rPr>
          <w:rFonts w:ascii="Barlow Condensed" w:hAnsi="Barlow Condensed" w:cs="Barlow Condensed"/>
          <w:b/>
          <w:i w:val="0"/>
          <w:color w:val="1F3A5F"/>
          <w:sz w:val="25"/>
          <w:caps w:val="1"/>
          <w:spacing w:val="12"/>
        </w:rPr>
        <w:t>Your hours this week</w:t>
      </w:r>
    </w:p>
    <w:p>
      <w:pPr>
        <w:spacing w:before="0" w:after="120" w:line="276" w:lineRule="auto"/>
      </w:pPr>
      <w:r>
        <w:rPr>
          <w:rFonts w:ascii="Barlow" w:hAnsi="Barlow" w:cs="Barlow"/>
          <w:b w:val="0"/>
          <w:i w:val="0"/>
          <w:sz w:val="20"/>
        </w:rPr>
        <w:t>You have ten project hours. You will not be able to do everything below, which is the point — choose, and write down what you chose not to do.</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4320"/>
            <w:shd w:val="clear" w:color="auto" w:fill="1F3A5F"/>
          </w:tcPr>
          <w:p>
            <w:pPr>
              <w:spacing w:before="20" w:after="20" w:line="252" w:lineRule="auto"/>
            </w:pPr>
            <w:r>
              <w:rPr>
                <w:rFonts w:ascii="Barlow Condensed" w:hAnsi="Barlow Condensed" w:cs="Barlow Condensed"/>
                <w:b/>
                <w:i w:val="0"/>
                <w:color w:val="FFFFFF"/>
                <w:sz w:val="19"/>
              </w:rPr>
              <w:t>Option</w:t>
            </w:r>
          </w:p>
        </w:tc>
        <w:tc>
          <w:tcPr>
            <w:tcW w:type="dxa" w:w="1152"/>
            <w:shd w:val="clear" w:color="auto" w:fill="1F3A5F"/>
          </w:tcPr>
          <w:p>
            <w:pPr>
              <w:spacing w:before="20" w:after="20" w:line="252" w:lineRule="auto"/>
              <w:jc w:val="center"/>
            </w:pPr>
            <w:r>
              <w:rPr>
                <w:rFonts w:ascii="Barlow Condensed" w:hAnsi="Barlow Condensed" w:cs="Barlow Condensed"/>
                <w:b/>
                <w:i w:val="0"/>
                <w:color w:val="FFFFFF"/>
                <w:sz w:val="19"/>
              </w:rPr>
              <w:t>Hours</w:t>
            </w:r>
          </w:p>
        </w:tc>
        <w:tc>
          <w:tcPr>
            <w:tcW w:type="dxa" w:w="4464"/>
            <w:shd w:val="clear" w:color="auto" w:fill="1F3A5F"/>
          </w:tcPr>
          <w:p>
            <w:pPr>
              <w:spacing w:before="20" w:after="20" w:line="252" w:lineRule="auto"/>
            </w:pPr>
            <w:r>
              <w:rPr>
                <w:rFonts w:ascii="Barlow Condensed" w:hAnsi="Barlow Condensed" w:cs="Barlow Condensed"/>
                <w:b/>
                <w:i w:val="0"/>
                <w:color w:val="FFFFFF"/>
                <w:sz w:val="19"/>
              </w:rPr>
              <w:t>What you get</w:t>
            </w:r>
          </w:p>
        </w:tc>
      </w:tr>
      <w:tr>
        <w:tc>
          <w:tcPr>
            <w:tcW w:type="dxa" w:w="4320"/>
          </w:tcPr>
          <w:p>
            <w:pPr>
              <w:spacing w:before="20" w:after="20" w:line="252" w:lineRule="auto"/>
            </w:pPr>
            <w:r>
              <w:rPr>
                <w:rFonts w:ascii="Barlow" w:hAnsi="Barlow" w:cs="Barlow"/>
                <w:b w:val="0"/>
                <w:i w:val="0"/>
                <w:sz w:val="19"/>
              </w:rPr>
              <w:t>Recompute all 8 gauge means yourself</w:t>
            </w:r>
          </w:p>
        </w:tc>
        <w:tc>
          <w:tcPr>
            <w:tcW w:type="dxa" w:w="1152"/>
          </w:tcPr>
          <w:p>
            <w:pPr>
              <w:spacing w:before="20" w:after="20" w:line="252" w:lineRule="auto"/>
              <w:jc w:val="center"/>
            </w:pPr>
            <w:r>
              <w:rPr>
                <w:rFonts w:ascii="Barlow" w:hAnsi="Barlow" w:cs="Barlow"/>
                <w:b w:val="0"/>
                <w:i w:val="0"/>
                <w:sz w:val="19"/>
              </w:rPr>
              <w:t>2</w:t>
            </w:r>
          </w:p>
        </w:tc>
        <w:tc>
          <w:tcPr>
            <w:tcW w:type="dxa" w:w="4464"/>
          </w:tcPr>
          <w:p>
            <w:pPr>
              <w:spacing w:before="20" w:after="20" w:line="252" w:lineRule="auto"/>
            </w:pPr>
            <w:r>
              <w:rPr>
                <w:rFonts w:ascii="Barlow" w:hAnsi="Barlow" w:cs="Barlow"/>
                <w:b w:val="0"/>
                <w:i w:val="0"/>
                <w:sz w:val="19"/>
              </w:rPr>
              <w:t>You know the numbers are real</w:t>
            </w:r>
          </w:p>
        </w:tc>
      </w:tr>
      <w:tr>
        <w:tc>
          <w:tcPr>
            <w:tcW w:type="dxa" w:w="4320"/>
            <w:shd w:val="clear" w:color="auto" w:fill="F4F6F8"/>
          </w:tcPr>
          <w:p>
            <w:pPr>
              <w:spacing w:before="20" w:after="20" w:line="252" w:lineRule="auto"/>
            </w:pPr>
            <w:r>
              <w:rPr>
                <w:rFonts w:ascii="Barlow" w:hAnsi="Barlow" w:cs="Barlow"/>
                <w:b w:val="0"/>
                <w:i w:val="0"/>
                <w:sz w:val="19"/>
              </w:rPr>
              <w:t>Recompute one gauge as a spot check</w:t>
            </w:r>
          </w:p>
        </w:tc>
        <w:tc>
          <w:tcPr>
            <w:tcW w:type="dxa" w:w="1152"/>
            <w:shd w:val="clear" w:color="auto" w:fill="F4F6F8"/>
          </w:tcPr>
          <w:p>
            <w:pPr>
              <w:spacing w:before="20" w:after="20" w:line="252" w:lineRule="auto"/>
              <w:jc w:val="center"/>
            </w:pPr>
            <w:r>
              <w:rPr>
                <w:rFonts w:ascii="Barlow" w:hAnsi="Barlow" w:cs="Barlow"/>
                <w:b w:val="0"/>
                <w:i w:val="0"/>
                <w:sz w:val="19"/>
              </w:rPr>
              <w:t>1</w:t>
            </w:r>
          </w:p>
        </w:tc>
        <w:tc>
          <w:tcPr>
            <w:tcW w:type="dxa" w:w="4464"/>
            <w:shd w:val="clear" w:color="auto" w:fill="F4F6F8"/>
          </w:tcPr>
          <w:p>
            <w:pPr>
              <w:spacing w:before="20" w:after="20" w:line="252" w:lineRule="auto"/>
            </w:pPr>
            <w:r>
              <w:rPr>
                <w:rFonts w:ascii="Barlow" w:hAnsi="Barlow" w:cs="Barlow"/>
                <w:b w:val="0"/>
                <w:i w:val="0"/>
                <w:sz w:val="19"/>
              </w:rPr>
              <w:t>You know your method works, not that the rest is right</w:t>
            </w:r>
          </w:p>
        </w:tc>
      </w:tr>
      <w:tr>
        <w:tc>
          <w:tcPr>
            <w:tcW w:type="dxa" w:w="4320"/>
          </w:tcPr>
          <w:p>
            <w:pPr>
              <w:spacing w:before="20" w:after="20" w:line="252" w:lineRule="auto"/>
            </w:pPr>
            <w:r>
              <w:rPr>
                <w:rFonts w:ascii="Barlow" w:hAnsi="Barlow" w:cs="Barlow"/>
                <w:b w:val="0"/>
                <w:i w:val="0"/>
                <w:sz w:val="19"/>
              </w:rPr>
              <w:t>Read the installation record and field notes</w:t>
            </w:r>
          </w:p>
        </w:tc>
        <w:tc>
          <w:tcPr>
            <w:tcW w:type="dxa" w:w="1152"/>
          </w:tcPr>
          <w:p>
            <w:pPr>
              <w:spacing w:before="20" w:after="20" w:line="252" w:lineRule="auto"/>
              <w:jc w:val="center"/>
            </w:pPr>
            <w:r>
              <w:rPr>
                <w:rFonts w:ascii="Barlow" w:hAnsi="Barlow" w:cs="Barlow"/>
                <w:b w:val="0"/>
                <w:i w:val="0"/>
                <w:sz w:val="19"/>
              </w:rPr>
              <w:t>1</w:t>
            </w:r>
          </w:p>
        </w:tc>
        <w:tc>
          <w:tcPr>
            <w:tcW w:type="dxa" w:w="4464"/>
          </w:tcPr>
          <w:p>
            <w:pPr>
              <w:spacing w:before="20" w:after="20" w:line="252" w:lineRule="auto"/>
            </w:pPr>
            <w:r>
              <w:rPr>
                <w:rFonts w:ascii="Barlow" w:hAnsi="Barlow" w:cs="Barlow"/>
                <w:b w:val="0"/>
                <w:i w:val="0"/>
                <w:sz w:val="19"/>
              </w:rPr>
              <w:t>Context FOREMAN did not have</w:t>
            </w:r>
          </w:p>
        </w:tc>
      </w:tr>
      <w:tr>
        <w:tc>
          <w:tcPr>
            <w:tcW w:type="dxa" w:w="4320"/>
            <w:shd w:val="clear" w:color="auto" w:fill="F4F6F8"/>
          </w:tcPr>
          <w:p>
            <w:pPr>
              <w:spacing w:before="20" w:after="20" w:line="252" w:lineRule="auto"/>
            </w:pPr>
            <w:r>
              <w:rPr>
                <w:rFonts w:ascii="Barlow" w:hAnsi="Barlow" w:cs="Barlow"/>
                <w:b w:val="0"/>
                <w:i w:val="0"/>
                <w:sz w:val="19"/>
              </w:rPr>
              <w:t>Call Northline about the install</w:t>
            </w:r>
          </w:p>
        </w:tc>
        <w:tc>
          <w:tcPr>
            <w:tcW w:type="dxa" w:w="1152"/>
            <w:shd w:val="clear" w:color="auto" w:fill="F4F6F8"/>
          </w:tcPr>
          <w:p>
            <w:pPr>
              <w:spacing w:before="20" w:after="20" w:line="252" w:lineRule="auto"/>
              <w:jc w:val="center"/>
            </w:pPr>
            <w:r>
              <w:rPr>
                <w:rFonts w:ascii="Barlow" w:hAnsi="Barlow" w:cs="Barlow"/>
                <w:b w:val="0"/>
                <w:i w:val="0"/>
                <w:sz w:val="19"/>
              </w:rPr>
              <w:t>1</w:t>
            </w:r>
          </w:p>
        </w:tc>
        <w:tc>
          <w:tcPr>
            <w:tcW w:type="dxa" w:w="4464"/>
            <w:shd w:val="clear" w:color="auto" w:fill="F4F6F8"/>
          </w:tcPr>
          <w:p>
            <w:pPr>
              <w:spacing w:before="20" w:after="20" w:line="252" w:lineRule="auto"/>
            </w:pPr>
            <w:r>
              <w:rPr>
                <w:rFonts w:ascii="Barlow" w:hAnsi="Barlow" w:cs="Barlow"/>
                <w:b w:val="0"/>
                <w:i w:val="0"/>
                <w:sz w:val="19"/>
              </w:rPr>
              <w:t>An answer arrives next meeting, not today</w:t>
            </w:r>
          </w:p>
        </w:tc>
      </w:tr>
      <w:tr>
        <w:tc>
          <w:tcPr>
            <w:tcW w:type="dxa" w:w="4320"/>
          </w:tcPr>
          <w:p>
            <w:pPr>
              <w:spacing w:before="20" w:after="20" w:line="252" w:lineRule="auto"/>
            </w:pPr>
            <w:r>
              <w:rPr>
                <w:rFonts w:ascii="Barlow" w:hAnsi="Barlow" w:cs="Barlow"/>
                <w:b w:val="0"/>
                <w:i w:val="0"/>
                <w:sz w:val="19"/>
              </w:rPr>
              <w:t>Re-derive FOREMAN's array figure to see how it got there</w:t>
            </w:r>
          </w:p>
        </w:tc>
        <w:tc>
          <w:tcPr>
            <w:tcW w:type="dxa" w:w="1152"/>
          </w:tcPr>
          <w:p>
            <w:pPr>
              <w:spacing w:before="20" w:after="20" w:line="252" w:lineRule="auto"/>
              <w:jc w:val="center"/>
            </w:pPr>
            <w:r>
              <w:rPr>
                <w:rFonts w:ascii="Barlow" w:hAnsi="Barlow" w:cs="Barlow"/>
                <w:b w:val="0"/>
                <w:i w:val="0"/>
                <w:sz w:val="19"/>
              </w:rPr>
              <w:t>2</w:t>
            </w:r>
          </w:p>
        </w:tc>
        <w:tc>
          <w:tcPr>
            <w:tcW w:type="dxa" w:w="4464"/>
          </w:tcPr>
          <w:p>
            <w:pPr>
              <w:spacing w:before="20" w:after="20" w:line="252" w:lineRule="auto"/>
            </w:pPr>
            <w:r>
              <w:rPr>
                <w:rFonts w:ascii="Barlow" w:hAnsi="Barlow" w:cs="Barlow"/>
                <w:b w:val="0"/>
                <w:i w:val="0"/>
                <w:sz w:val="19"/>
              </w:rPr>
              <w:t>You learn what it actually did</w:t>
            </w:r>
          </w:p>
        </w:tc>
      </w:tr>
      <w:tr>
        <w:tc>
          <w:tcPr>
            <w:tcW w:type="dxa" w:w="4320"/>
            <w:shd w:val="clear" w:color="auto" w:fill="F4F6F8"/>
          </w:tcPr>
          <w:p>
            <w:pPr>
              <w:spacing w:before="20" w:after="20" w:line="252" w:lineRule="auto"/>
            </w:pPr>
            <w:r>
              <w:rPr>
                <w:rFonts w:ascii="Barlow" w:hAnsi="Barlow" w:cs="Barlow"/>
                <w:b w:val="0"/>
                <w:i w:val="0"/>
                <w:sz w:val="19"/>
              </w:rPr>
              <w:t>Accept FOREMAN's result as delivered</w:t>
            </w:r>
          </w:p>
        </w:tc>
        <w:tc>
          <w:tcPr>
            <w:tcW w:type="dxa" w:w="1152"/>
            <w:shd w:val="clear" w:color="auto" w:fill="F4F6F8"/>
          </w:tcPr>
          <w:p>
            <w:pPr>
              <w:spacing w:before="20" w:after="20" w:line="252" w:lineRule="auto"/>
              <w:jc w:val="center"/>
            </w:pPr>
            <w:r>
              <w:rPr>
                <w:rFonts w:ascii="Barlow" w:hAnsi="Barlow" w:cs="Barlow"/>
                <w:b w:val="0"/>
                <w:i w:val="0"/>
                <w:sz w:val="19"/>
              </w:rPr>
              <w:t>0</w:t>
            </w:r>
          </w:p>
        </w:tc>
        <w:tc>
          <w:tcPr>
            <w:tcW w:type="dxa" w:w="4464"/>
            <w:shd w:val="clear" w:color="auto" w:fill="F4F6F8"/>
          </w:tcPr>
          <w:p>
            <w:pPr>
              <w:spacing w:before="20" w:after="20" w:line="252" w:lineRule="auto"/>
            </w:pPr>
            <w:r>
              <w:rPr>
                <w:rFonts w:ascii="Barlow" w:hAnsi="Barlow" w:cs="Barlow"/>
                <w:b w:val="0"/>
                <w:i w:val="0"/>
                <w:sz w:val="19"/>
              </w:rPr>
              <w:t>Four hours saved, and a number you cannot defend</w:t>
            </w:r>
          </w:p>
        </w:tc>
      </w:tr>
    </w:tbl>
    <w:p>
      <w:pPr>
        <w:spacing w:before="0" w:after="120" w:line="276" w:lineRule="auto"/>
      </w:pPr>
    </w:p>
    <w:p>
      <w:pPr>
        <w:spacing w:before="120" w:after="160" w:line="276" w:lineRule="auto"/>
        <w:pBdr>
          <w:top w:val="single" w:sz="8" w:space="6" w:color="F26B1D"/>
          <w:left w:val="single" w:sz="8" w:space="6" w:color="F26B1D"/>
          <w:bottom w:val="single" w:sz="8" w:space="6" w:color="F26B1D"/>
          <w:right w:val="single" w:sz="8" w:space="6" w:color="F26B1D"/>
        </w:pBdr>
        <w:shd w:val="clear" w:fill="FFF1E8"/>
      </w:pPr>
      <w:r>
        <w:rPr>
          <w:rFonts w:ascii="Barlow Condensed" w:hAnsi="Barlow Condensed" w:cs="Barlow Condensed"/>
          <w:b/>
          <w:i w:val="0"/>
          <w:color w:val="2B2F36"/>
          <w:sz w:val="19"/>
          <w:caps w:val="1"/>
          <w:spacing w:val="10"/>
        </w:rPr>
        <w:t xml:space="preserve">One warning  </w:t>
      </w:r>
      <w:r>
        <w:rPr>
          <w:rFonts w:ascii="Barlow" w:hAnsi="Barlow" w:cs="Barlow"/>
          <w:b w:val="0"/>
          <w:i w:val="0"/>
          <w:sz w:val="19"/>
        </w:rPr>
        <w:t>Whatever you hand me this week gets passed to Wes and used for the February study. If something is wrong in it, it will not stay in this week.</w:t>
      </w:r>
    </w:p>
    <w:p>
      <w:pPr>
        <w:spacing w:before="0" w:after="80" w:line="276" w:lineRule="auto"/>
      </w:pPr>
    </w:p>
    <w:p>
      <w:pPr>
        <w:spacing w:before="80" w:after="120" w:line="276" w:lineRule="auto"/>
        <w:ind w:left="288"/>
      </w:pPr>
      <w:r>
        <w:rPr>
          <w:rFonts w:ascii="Caveat" w:hAnsi="Caveat" w:cs="Caveat"/>
          <w:b w:val="0"/>
          <w:i w:val="0"/>
          <w:color w:val="1F3A5F"/>
          <w:sz w:val="26"/>
        </w:rPr>
        <w:t>Due Tuesday. One page. I mean one page. — D.H.</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Otter Bend Lift Bridge  ·  Kinnick County Project 27-114</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drawing>
        <wp:inline xmlns:a="http://schemas.openxmlformats.org/drawingml/2006/main" xmlns:pic="http://schemas.openxmlformats.org/drawingml/2006/picture">
          <wp:extent cx="1182515" cy="310896"/>
          <wp:docPr id="1" name="Picture 1"/>
          <wp:cNvGraphicFramePr>
            <a:graphicFrameLocks noChangeAspect="1"/>
          </wp:cNvGraphicFramePr>
          <a:graphic>
            <a:graphicData uri="http://schemas.openxmlformats.org/drawingml/2006/picture">
              <pic:pic>
                <pic:nvPicPr>
                  <pic:cNvPr id="0" name="acmejob-logo-horizontal.png"/>
                  <pic:cNvPicPr/>
                </pic:nvPicPr>
                <pic:blipFill>
                  <a:blip r:embed="rId1"/>
                  <a:stretch>
                    <a:fillRect/>
                  </a:stretch>
                </pic:blipFill>
                <pic:spPr>
                  <a:xfrm>
                    <a:off x="0" y="0"/>
                    <a:ext cx="1182515" cy="310896"/>
                  </a:xfrm>
                  <a:prstGeom prst="rect"/>
                </pic:spPr>
              </pic:pic>
            </a:graphicData>
          </a:graphic>
        </wp:inline>
      </w:drawing>
    </w:r>
  </w:p>
  <w:p>
    <w:pPr>
      <w:spacing w:before="0" w:after="60"/>
      <w:pBdr>
        <w:bottom w:val="single" w:sz="6" w:space="4" w:color="C9CFD6"/>
      </w:pBdr>
    </w:pPr>
    <w:r>
      <w:rPr>
        <w:rFonts w:ascii="Barlow Condensed" w:hAnsi="Barlow Condensed" w:cs="Barlow Condensed"/>
        <w:b w:val="0"/>
        <w:i w:val="0"/>
        <w:color w:val="6B7280"/>
        <w:sz w:val="17"/>
        <w:caps w:val="1"/>
        <w:spacing w:val="20"/>
      </w:rPr>
      <w:t>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