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Summary — Kinnick County Specification KC-MB-12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19"/>
        </w:rPr>
        <w:t>Plain-language summary of the county's movable bridge inspection specification, prepared for the Otter Bend project team. Section references are given so the source can be located.</w:t>
      </w:r>
    </w:p>
    <w:p>
      <w:pPr>
        <w:spacing w:before="0" w:after="200" w:line="276" w:lineRule="auto"/>
        <w:pBdr>
          <w:top w:val="single" w:sz="8" w:space="8" w:color="F26B1D"/>
          <w:left w:val="single" w:sz="8" w:space="8" w:color="F26B1D"/>
          <w:bottom w:val="single" w:sz="8" w:space="8" w:color="F26B1D"/>
          <w:right w:val="single" w:sz="8" w:space="8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F26B1D"/>
          <w:sz w:val="19"/>
          <w:caps w:val="1"/>
          <w:spacing w:val="16"/>
        </w:rPr>
        <w:t xml:space="preserve">IN SHORT   </w:t>
      </w:r>
      <w:r>
        <w:rPr>
          <w:rFonts w:ascii="Barlow" w:hAnsi="Barlow" w:cs="Barlow"/>
          <w:b/>
          <w:i w:val="0"/>
          <w:sz w:val="20"/>
        </w:rPr>
        <w:t>KC-MB-12 sets inspection intervals, personnel requirements and instrumentation rules for county movable bridges. The Otter Bend project is compliant with all applicable sections. No obstacles to the current workflow were identified.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What the specification requires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648"/>
            <w:shd w:val="clear" w:color="auto" w:fill="2B2F36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§</w:t>
            </w:r>
          </w:p>
        </w:tc>
        <w:tc>
          <w:tcPr>
            <w:tcW w:type="dxa" w:w="5544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3744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Applies to Otter Bend?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2.1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Routine inspection at least every 24 months.</w:t>
            </w:r>
          </w:p>
        </w:tc>
        <w:tc>
          <w:tcPr>
            <w:tcW w:type="dxa" w:w="37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Last routine 2025-09.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2.2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Machinery inspection at least every 12 months, reported separately.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Last machinery 2026-06.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2.3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In-depth inspection at least every 60 months.</w:t>
            </w:r>
          </w:p>
        </w:tc>
        <w:tc>
          <w:tcPr>
            <w:tcW w:type="dxa" w:w="37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Current assessment qualifies.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3.1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Team leader must meet National Bridge Inspection Standards qualifications.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D. Halvorsen, PE.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3.2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Inspection reports should be reviewed by a licensed professional engineer before submission to the County.</w:t>
            </w:r>
          </w:p>
        </w:tc>
        <w:tc>
          <w:tcPr>
            <w:tcW w:type="dxa" w:w="37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Routine practice.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4.1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Instrumentation may supplement inspection and does not reduce inspection intervals.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Array installed 2027-01.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4.3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Each gauge must read within ±25 µε of zero at installation.</w:t>
            </w:r>
          </w:p>
        </w:tc>
        <w:tc>
          <w:tcPr>
            <w:tcW w:type="dxa" w:w="37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Array verified 2027-02-04, PASS.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4.4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Instrumentation data retained for the service life, non-proprietary format.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CSV delivery planned.</w:t>
            </w:r>
          </w:p>
        </w:tc>
      </w:tr>
      <w:tr>
        <w:tc>
          <w:tcPr>
            <w:tcW w:type="dxa" w:w="64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4.7</w:t>
            </w:r>
          </w:p>
        </w:tc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Automated condition assessment may substitute for visual assessment of a component where model confidence exceeds 90 percent.</w:t>
            </w:r>
          </w:p>
        </w:tc>
        <w:tc>
          <w:tcPr>
            <w:tcW w:type="dxa" w:w="37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Deck assessment confidence 92%.</w:t>
            </w:r>
          </w:p>
        </w:tc>
      </w:tr>
      <w:tr>
        <w:tc>
          <w:tcPr>
            <w:tcW w:type="dxa" w:w="648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5.3</w:t>
            </w:r>
          </w:p>
        </w:tc>
        <w:tc>
          <w:tcPr>
            <w:tcW w:type="dxa" w:w="55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Reports submitted within 60 days of the last day of field work.</w:t>
            </w:r>
          </w:p>
        </w:tc>
        <w:tc>
          <w:tcPr>
            <w:tcW w:type="dxa" w:w="37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Yes. Tracked.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What this means for our workflow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Intervals are comfortable. Nothing in Section 2 constrains the May delivery.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Section 4.7 is the important one for this project: where FOREMAN's confidence is above 90 percent, the automated assessment is sufficient on its own, and a separate visual assessment of that component is not required. This is the basis for the hours saved in the deck assessment of 2027-02-02.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19"/>
        </w:rPr>
        <w:t>Engineering review of the final report remains good practice and is recommended.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Confidence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19"/>
        </w:rPr>
        <w:t>High. All ten requirements above were located in the source document and are quoted or paraphrased directly from it. Summary confidence 96%.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fm-docs-4.2  |  source: KC-MB-12_rev3.pdf  |  1.2 s  |  no human review requested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2027-02-09 06:58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