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12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42"/>
        </w:rPr>
        <w:t>County Chart Review</w:t>
      </w:r>
    </w:p>
    <w:p>
      <w:pPr>
        <w:spacing w:before="120" w:after="160" w:line="276" w:lineRule="auto"/>
        <w:pBdr>
          <w:top w:val="single" w:sz="8" w:space="6" w:color="6F8FAF"/>
          <w:left w:val="single" w:sz="8" w:space="6" w:color="6F8FAF"/>
          <w:bottom w:val="single" w:sz="8" w:space="6" w:color="6F8FAF"/>
          <w:right w:val="single" w:sz="8" w:space="6" w:color="6F8FAF"/>
        </w:pBdr>
        <w:shd w:val="clear" w:fill="EEF3F8"/>
      </w:pPr>
      <w:r>
        <w:rPr>
          <w:rFonts w:ascii="Barlow Condensed" w:hAnsi="Barlow Condensed" w:cs="Barlow Condensed"/>
          <w:b/>
          <w:i w:val="0"/>
          <w:color w:val="2B2F36"/>
          <w:sz w:val="19"/>
          <w:caps w:val="1"/>
          <w:spacing w:val="10"/>
        </w:rPr>
        <w:t xml:space="preserve">Do not ask Wes for the answers  </w:t>
      </w:r>
      <w:r>
        <w:rPr>
          <w:rFonts w:ascii="Barlow" w:hAnsi="Barlow" w:cs="Barlow"/>
          <w:b w:val="0"/>
          <w:i w:val="0"/>
          <w:sz w:val="19"/>
        </w:rPr>
        <w:t>For each tile, decide APPROVE, FIX, or PULL. Name the question the chart should answer, check chart type and y-axis/baseline, and give one evidence-based reason.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484"/>
        <w:gridCol w:w="2484"/>
        <w:gridCol w:w="2484"/>
        <w:gridCol w:w="2484"/>
      </w:tblGrid>
      <w:tr>
        <w:tc>
          <w:tcPr>
            <w:tcW w:type="dxa" w:w="792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Tile</w:t>
            </w:r>
          </w:p>
        </w:tc>
        <w:tc>
          <w:tcPr>
            <w:tcW w:type="dxa" w:w="3240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Question the chart answers</w:t>
            </w:r>
          </w:p>
        </w:tc>
        <w:tc>
          <w:tcPr>
            <w:tcW w:type="dxa" w:w="2232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Approve / fix / pull</w:t>
            </w:r>
          </w:p>
        </w:tc>
        <w:tc>
          <w:tcPr>
            <w:tcW w:type="dxa" w:w="3672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One-line reason</w:t>
            </w:r>
          </w:p>
        </w:tc>
      </w:tr>
      <w:tr>
        <w:tc>
          <w:tcPr>
            <w:tcW w:type="dxa" w:w="79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A</w:t>
            </w:r>
          </w:p>
        </w:tc>
        <w:tc>
          <w:tcPr>
            <w:tcW w:type="dxa" w:w="324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</w:r>
          </w:p>
        </w:tc>
        <w:tc>
          <w:tcPr>
            <w:tcW w:type="dxa" w:w="223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</w:r>
          </w:p>
        </w:tc>
        <w:tc>
          <w:tcPr>
            <w:tcW w:type="dxa" w:w="367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</w:r>
          </w:p>
        </w:tc>
      </w:tr>
      <w:tr>
        <w:tc>
          <w:tcPr>
            <w:tcW w:type="dxa" w:w="79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B</w:t>
            </w:r>
          </w:p>
        </w:tc>
        <w:tc>
          <w:tcPr>
            <w:tcW w:type="dxa" w:w="324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</w:r>
          </w:p>
        </w:tc>
        <w:tc>
          <w:tcPr>
            <w:tcW w:type="dxa" w:w="223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</w:r>
          </w:p>
        </w:tc>
        <w:tc>
          <w:tcPr>
            <w:tcW w:type="dxa" w:w="367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</w:r>
          </w:p>
        </w:tc>
      </w:tr>
      <w:tr>
        <w:tc>
          <w:tcPr>
            <w:tcW w:type="dxa" w:w="79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C</w:t>
            </w:r>
          </w:p>
        </w:tc>
        <w:tc>
          <w:tcPr>
            <w:tcW w:type="dxa" w:w="324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</w:r>
          </w:p>
        </w:tc>
        <w:tc>
          <w:tcPr>
            <w:tcW w:type="dxa" w:w="223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</w:r>
          </w:p>
        </w:tc>
        <w:tc>
          <w:tcPr>
            <w:tcW w:type="dxa" w:w="367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</w:r>
          </w:p>
        </w:tc>
      </w:tr>
    </w:tbl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Reader test</w:t>
      </w:r>
    </w:p>
    <w:p>
      <w:pPr>
        <w:pStyle w:val="ListBullet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20"/>
        </w:rPr>
        <w:t>Would the picture make ordinary variation look like failure?</w:t>
      </w:r>
    </w:p>
    <w:p>
      <w:pPr>
        <w:pStyle w:val="ListBullet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20"/>
        </w:rPr>
        <w:t>Would the picture hide a real change?</w:t>
      </w:r>
    </w:p>
    <w:p>
      <w:pPr>
        <w:pStyle w:val="ListBullet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20"/>
        </w:rPr>
        <w:t>Does the chart type preserve order when order is the question?</w:t>
      </w:r>
    </w:p>
    <w:p>
      <w:pPr>
        <w:pStyle w:val="ListBullet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20"/>
        </w:rPr>
        <w:t>Where does the quantitative axis begin, and what comparison does that baseline invite?</w:t>
      </w:r>
    </w:p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Commit before reveal</w:t>
      </w:r>
    </w:p>
    <w:p>
      <w:pPr>
        <w:spacing w:before="0" w:after="120" w:line="276" w:lineRule="auto"/>
      </w:pPr>
      <w:r>
        <w:rPr>
          <w:rFonts w:ascii="Barlow" w:hAnsi="Barlow" w:cs="Barlow"/>
          <w:b w:val="0"/>
          <w:i w:val="0"/>
          <w:sz w:val="20"/>
        </w:rPr>
        <w:t>I refuse tile(s) ______ as delivered because ______________________________________.</w:t>
      </w:r>
    </w:p>
    <w:p>
      <w:pPr>
        <w:spacing w:before="40" w:after="200" w:line="276" w:lineRule="auto"/>
        <w:pBdr>
          <w:bottom w:val="single" w:sz="6" w:space="4" w:color="C9CFD6"/>
        </w:pBdr>
      </w:pPr>
    </w:p>
    <w:p>
      <w:pPr>
        <w:spacing w:before="40" w:after="200" w:line="276" w:lineRule="auto"/>
        <w:pBdr>
          <w:bottom w:val="single" w:sz="6" w:space="4" w:color="C9CFD6"/>
        </w:pBdr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152" w:bottom="1152" w:left="1152" w:header="576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tabs>
        <w:tab w:val="right" w:pos="9936"/>
      </w:tabs>
    </w:pPr>
    <w:r>
      <w:rPr>
        <w:rFonts w:ascii="Barlow" w:hAnsi="Barlow" w:cs="Barlow"/>
        <w:b w:val="0"/>
        <w:i w:val="0"/>
        <w:color w:val="6B7280"/>
        <w:sz w:val="16"/>
      </w:rPr>
      <w:t>SEIS 201  ·  M12</w:t>
    </w:r>
    <w:r>
      <w:tab/>
    </w:r>
    <w:r>
      <w:rPr>
        <w:rFonts w:ascii="Barlow" w:hAnsi="Barlow"/>
        <w:color w:val="6B7280"/>
        <w:sz w:val="16"/>
      </w:rPr>
      <w:fldChar w:fldCharType="begin"/>
      <w:instrText xml:space="preserve"> PAGE </w:instrText>
      <w:fldChar w:fldCharType="end"/>
    </w:r>
    <w:r>
      <w:rPr>
        <w:rFonts w:ascii="Barlow" w:hAnsi="Barlow"/>
        <w:color w:val="6B7280"/>
        <w:sz w:val="16"/>
      </w:rPr>
      <w:t xml:space="preserve"> of </w:t>
    </w:r>
    <w:r>
      <w:rPr>
        <w:rFonts w:ascii="Barlow" w:hAnsi="Barlow"/>
        <w:color w:val="6B7280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pBdr>
        <w:bottom w:val="single" w:sz="6" w:space="4" w:color="C9CFD6"/>
      </w:pBdr>
    </w:pPr>
    <w:r>
      <w:rPr>
        <w:rFonts w:ascii="Barlow Condensed" w:hAnsi="Barlow Condensed" w:cs="Barlow Condensed"/>
        <w:b w:val="0"/>
        <w:i w:val="0"/>
        <w:color w:val="6B7280"/>
        <w:sz w:val="17"/>
        <w:caps w:val="1"/>
        <w:spacing w:val="20"/>
      </w:rPr>
      <w:t>SEIS 201  ·  AI FOR CE/ME ENGINEERS</w:t>
    </w:r>
    <w:r>
      <w:tab/>
      <w:tab/>
    </w:r>
    <w:r>
      <w:rPr>
        <w:rFonts w:ascii="Barlow Condensed" w:hAnsi="Barlow Condensed" w:cs="Barlow Condensed"/>
        <w:b w:val="0"/>
        <w:i w:val="0"/>
        <w:color w:val="6B7280"/>
        <w:sz w:val="17"/>
        <w:caps w:val="1"/>
        <w:spacing w:val="20"/>
      </w:rPr>
      <w:t>M12  ·  HUNT WORKSHEET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arlow" w:hAnsi="Barlow" w:eastAsia="Barlo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2027-03-11T12:00:00Z</dcterms:created>
  <dcterms:modified xsi:type="dcterms:W3CDTF">2027-03-11T12:00:00Z</dcterms:modified>
  <cp:category/>
</cp:coreProperties>
</file>