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0" w:type="dxa"/>
          <w:left w:w="0" w:type="dxa"/>
          <w:bottom w:w="10" w:type="dxa"/>
          <w:right w:w="60" w:type="dxa"/>
        </w:tblCellMar>
      </w:tblPr>
      <w:tblGrid>
        <w:gridCol w:w="4968"/>
        <w:gridCol w:w="4968"/>
      </w:tblGrid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TO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You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FROM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Diane Halvorsen, PE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DATE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Tuesday, February 9, 2027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RE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/>
                <w:i w:val="0"/>
                <w:sz w:val="20"/>
              </w:rPr>
              <w:t>HW2 — Before that summary goes in the interim report</w:t>
            </w:r>
          </w:p>
        </w:tc>
      </w:tr>
    </w:tbl>
    <w:p>
      <w:pPr>
        <w:spacing w:before="20" w:after="180" w:line="240" w:lineRule="auto"/>
        <w:pBdr>
          <w:bottom w:val="single" w:sz="6" w:space="4" w:color="C9CFD6"/>
        </w:pBdr>
      </w:pP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Wes pulled FOREMAN's summary of KC-MB-12 into the draft interim report this morning, footnotes and all. The county's own engineer wrote that specification. She will read our summary of it.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sz w:val="20"/>
        </w:rPr>
        <w:t>Go through it properly and tell me what I am sending.</w:t>
      </w:r>
    </w:p>
    <w:p>
      <w:pPr>
        <w:spacing w:before="4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What to hand in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completed source-check worksheet, all ten claims.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For every claim that does not hold up: quote what the specification actually says, and say in one sentence what would go wrong if we relied on FOREMAN's version.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Section 4.7 is being used inside FOREMAN's own summary to justify something specific. Find where, and say what it would mean for the deck work we did last week.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Your note, version 1.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Your hours this week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43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Hours</w:t>
            </w:r>
          </w:p>
        </w:tc>
        <w:tc>
          <w:tcPr>
            <w:tcW w:type="dxa" w:w="44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What you get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Check all ten claims against the specification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You know what is in the report</w:t>
            </w:r>
          </w:p>
        </w:tc>
      </w:tr>
      <w:tr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Check the three that affect our own work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Most of the risk, a fraction of the time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Ask FOREMAN to double-check its own summary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Read Section 4.7 again and ask yourself</w:t>
            </w:r>
          </w:p>
        </w:tc>
      </w:tr>
      <w:tr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Email the county engineer to confirm §4.7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An answer next meeting, and a question you would rather not have asked</w:t>
            </w:r>
          </w:p>
        </w:tc>
      </w:tr>
    </w:tbl>
    <w:p>
      <w:pPr>
        <w:spacing w:before="0" w:after="160" w:line="276" w:lineRule="auto"/>
      </w:pP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 word about the third option  </w:t>
      </w:r>
      <w:r>
        <w:rPr>
          <w:rFonts w:ascii="Barlow" w:hAnsi="Barlow" w:cs="Barlow"/>
          <w:b w:val="0"/>
          <w:i w:val="0"/>
          <w:sz w:val="19"/>
        </w:rPr>
        <w:t>If a summary is wrong, the thing that wrote it is not the thing that finds out. You will meet this again in April when FOREMAN writes tests for its own code.</w:t>
      </w:r>
    </w:p>
    <w:p>
      <w:pPr>
        <w:spacing w:before="0" w:after="80" w:line="276" w:lineRule="auto"/>
      </w:pPr>
    </w:p>
    <w:p>
      <w:pPr>
        <w:spacing w:before="80" w:after="120" w:line="276" w:lineRule="auto"/>
        <w:ind w:left="288"/>
      </w:pPr>
      <w:r>
        <w:rPr>
          <w:rFonts w:ascii="Caveat" w:hAnsi="Caveat" w:cs="Caveat"/>
          <w:b w:val="0"/>
          <w:i w:val="0"/>
          <w:color w:val="1F3A5F"/>
          <w:sz w:val="26"/>
        </w:rPr>
        <w:t>If §4.7 is real, find it and I'll stop asking. — D.H.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Internal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