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0" w:type="dxa"/>
          <w:left w:w="0" w:type="dxa"/>
          <w:bottom w:w="10" w:type="dxa"/>
          <w:right w:w="60" w:type="dxa"/>
        </w:tblCellMar>
      </w:tblPr>
      <w:tblGrid>
        <w:gridCol w:w="4968"/>
        <w:gridCol w:w="4968"/>
      </w:tblGrid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TO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You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FROM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Diane Halvorsen, PE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DATE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Tuesday, February 16, 2027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RE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/>
                <w:i w:val="0"/>
                <w:sz w:val="20"/>
              </w:rPr>
              <w:t>The 3:07 a.m. draft did not leave this office</w:t>
            </w:r>
          </w:p>
        </w:tc>
      </w:tr>
    </w:tbl>
    <w:p>
      <w:pPr>
        <w:spacing w:before="20" w:after="180" w:line="240" w:lineRule="auto"/>
        <w:pBdr>
          <w:bottom w:val="single" w:sz="6" w:space="4" w:color="C9CFD6"/>
        </w:pBdr>
      </w:pP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FOREMAN ran against the live Otter Bend sensor feed overnight. At 3:07 a.m. it prepared a county inspection flag saying the strain threshold was exceeded and recommended immediate closure. The draft waited for approval. It did not go out.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sz w:val="20"/>
        </w:rPr>
        <w:t>I need to know what happened between the feed and that sentence. Do not start by deciding whether the bridge was in danger. Start by reconstructing the work.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What I need at the end of class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marked run log: plan, tool call, observation, or decision on every substantive line.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exact input, transformation, threshold rule, and action that produced the draft.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note version 1: what the evidence supports now, what it does not support, and the next check you would require before anything goes to the county.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Your eight project hours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Hours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it buys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Trace the complete run log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</w:t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 reproducible path from feed to draft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Recompute the 10-minute window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8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Whether averaging changed the trigger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Verify baseline correction and field choice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Raw-versus-corrected pipeline check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Compare adjacent gauges and prior readings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</w:t>
            </w:r>
          </w:p>
        </w:tc>
        <w:tc>
          <w:tcPr>
            <w:tcW w:type="dxa" w:w="48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Corroboration and persistence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Audit timestamps and row counts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Ingestion and duplicate check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Check action and review rules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48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Whether an internal warning became an external claim</w:t>
            </w:r>
          </w:p>
        </w:tc>
      </w:tr>
    </w:tbl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Diane's mode  </w:t>
      </w:r>
      <w:r>
        <w:rPr>
          <w:rFonts w:ascii="Barlow" w:hAnsi="Barlow" w:cs="Barlow"/>
          <w:b w:val="0"/>
          <w:i w:val="0"/>
          <w:sz w:val="19"/>
        </w:rPr>
        <w:t>Sharper, not omniscient. The draft nearly carried the firm's name, so Diane wants a trace and a checkpoint. Her urgency is not evidence that closure—or no closure—is right.</w:t>
      </w:r>
    </w:p>
    <w:p>
      <w:pPr>
        <w:spacing w:before="80" w:after="120" w:line="276" w:lineRule="auto"/>
        <w:ind w:left="288"/>
      </w:pPr>
      <w:r>
        <w:rPr>
          <w:rFonts w:ascii="Caveat" w:hAnsi="Caveat" w:cs="Caveat"/>
          <w:b w:val="0"/>
          <w:i w:val="0"/>
          <w:color w:val="1F3A5F"/>
          <w:sz w:val="26"/>
        </w:rPr>
        <w:t>Show me the handoff where “look at this” became “close it.” — D.H.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Internal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