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12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42"/>
        </w:rPr>
        <w:t>Real, Outlier, or Pipeline Artifact?</w:t>
      </w:r>
    </w:p>
    <w:p>
      <w:pPr>
        <w:spacing w:before="0" w:after="160" w:line="276" w:lineRule="auto"/>
      </w:pPr>
      <w:r>
        <w:rPr>
          <w:rFonts w:ascii="Barlow" w:hAnsi="Barlow" w:cs="Barlow"/>
          <w:b w:val="0"/>
          <w:i w:val="0"/>
          <w:sz w:val="20"/>
        </w:rPr>
        <w:t>FOREMAN has reversed itself: Tuesday it recommended closure; Thursday it says delete the reading. Audit the reasoning before accepting either disposition.</w:t>
      </w:r>
    </w:p>
    <w:p>
      <w:pPr>
        <w:spacing w:before="120" w:after="160" w:line="276" w:lineRule="auto"/>
        <w:pBdr>
          <w:top w:val="single" w:sz="8" w:space="6" w:color="6F8FAF"/>
          <w:left w:val="single" w:sz="8" w:space="6" w:color="6F8FAF"/>
          <w:bottom w:val="single" w:sz="8" w:space="6" w:color="6F8FAF"/>
          <w:right w:val="single" w:sz="8" w:space="6" w:color="6F8FAF"/>
        </w:pBdr>
        <w:shd w:val="clear" w:fill="EEF3F8"/>
      </w:pPr>
      <w:r>
        <w:rPr>
          <w:rFonts w:ascii="Barlow Condensed" w:hAnsi="Barlow Condensed" w:cs="Barlow Condensed"/>
          <w:b/>
          <w:i w:val="0"/>
          <w:color w:val="2B2F36"/>
          <w:sz w:val="19"/>
          <w:caps w:val="1"/>
          <w:spacing w:val="10"/>
        </w:rPr>
        <w:t xml:space="preserve">Keep three claims separate  </w:t>
      </w:r>
      <w:r>
        <w:rPr>
          <w:rFonts w:ascii="Barlow" w:hAnsi="Barlow" w:cs="Barlow"/>
          <w:b w:val="0"/>
          <w:i w:val="0"/>
          <w:sz w:val="19"/>
        </w:rPr>
        <w:t>A row can be unusual and still be real. “Outlier” describes its relationship to other values; it does not identify a cause. A pipeline artifact must be demonstrated in the data path.</w:t>
      </w:r>
    </w:p>
    <w:p>
      <w:pPr>
        <w:spacing w:before="260" w:after="8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25"/>
          <w:caps w:val="1"/>
          <w:spacing w:val="12"/>
        </w:rPr>
        <w:t>A — Reproduce the evidence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4968"/>
        <w:gridCol w:w="4968"/>
      </w:tblGrid>
      <w:tr>
        <w:tc>
          <w:tcPr>
            <w:tcW w:type="dxa" w:w="6408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7"/>
              </w:rPr>
              <w:t>Question</w:t>
            </w:r>
          </w:p>
        </w:tc>
        <w:tc>
          <w:tcPr>
            <w:tcW w:type="dxa" w:w="3528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7"/>
              </w:rPr>
              <w:t>File / field / result</w:t>
            </w:r>
          </w:p>
        </w:tc>
      </w:tr>
      <w:tr>
        <w:tc>
          <w:tcPr>
            <w:tcW w:type="dxa" w:w="640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What is the unit of analysis: every gauge row, each timestamp, or each day's peak?</w:t>
            </w:r>
          </w:p>
        </w:tc>
        <w:tc>
          <w:tcPr>
            <w:tcW w:type="dxa" w:w="352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</w:r>
          </w:p>
        </w:tc>
      </w:tr>
      <w:tr>
        <w:tc>
          <w:tcPr>
            <w:tcW w:type="dxa" w:w="640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How many daily peaks are in the spreadsheet?</w:t>
            </w:r>
          </w:p>
        </w:tc>
        <w:tc>
          <w:tcPr>
            <w:tcW w:type="dxa" w:w="352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</w:r>
          </w:p>
        </w:tc>
      </w:tr>
      <w:tr>
        <w:tc>
          <w:tcPr>
            <w:tcW w:type="dxa" w:w="640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What shape does the histogram suggest? Cite visible features.</w:t>
            </w:r>
          </w:p>
        </w:tc>
        <w:tc>
          <w:tcPr>
            <w:tcW w:type="dxa" w:w="352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</w:r>
          </w:p>
        </w:tc>
      </w:tr>
      <w:tr>
        <w:tc>
          <w:tcPr>
            <w:tcW w:type="dxa" w:w="640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Does the duplicate block alter the 03:00 event or its daily peak?</w:t>
            </w:r>
          </w:p>
        </w:tc>
        <w:tc>
          <w:tcPr>
            <w:tcW w:type="dxa" w:w="352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</w:r>
          </w:p>
        </w:tc>
      </w:tr>
      <w:tr>
        <w:tc>
          <w:tcPr>
            <w:tcW w:type="dxa" w:w="640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What happened in the independent traffic record at 03:00?</w:t>
            </w:r>
          </w:p>
        </w:tc>
        <w:tc>
          <w:tcPr>
            <w:tcW w:type="dxa" w:w="352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</w:r>
          </w:p>
        </w:tc>
      </w:tr>
    </w:tbl>
    <w:p>
      <w:pPr>
        <w:spacing w:before="260" w:after="8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25"/>
          <w:caps w:val="1"/>
          <w:spacing w:val="12"/>
        </w:rPr>
        <w:t>B — Audit FOREMAN's chain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3312"/>
        <w:gridCol w:w="3312"/>
        <w:gridCol w:w="3312"/>
      </w:tblGrid>
      <w:tr>
        <w:tc>
          <w:tcPr>
            <w:tcW w:type="dxa" w:w="3600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7"/>
              </w:rPr>
              <w:t>FOREMAN step</w:t>
            </w:r>
          </w:p>
        </w:tc>
        <w:tc>
          <w:tcPr>
            <w:tcW w:type="dxa" w:w="1512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7"/>
              </w:rPr>
              <w:t>Supported?</w:t>
            </w:r>
          </w:p>
        </w:tc>
        <w:tc>
          <w:tcPr>
            <w:tcW w:type="dxa" w:w="4824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7"/>
              </w:rPr>
              <w:t>Evidence and correction</w:t>
            </w:r>
          </w:p>
        </w:tc>
      </w:tr>
      <w:tr>
        <w:tc>
          <w:tcPr>
            <w:tcW w:type="dxa" w:w="360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Choose daily peaks</w:t>
            </w:r>
          </w:p>
        </w:tc>
        <w:tc>
          <w:tcPr>
            <w:tcW w:type="dxa" w:w="151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</w:r>
          </w:p>
        </w:tc>
        <w:tc>
          <w:tcPr>
            <w:tcW w:type="dxa" w:w="482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</w:r>
          </w:p>
        </w:tc>
      </w:tr>
      <w:tr>
        <w:tc>
          <w:tcPr>
            <w:tcW w:type="dxa" w:w="360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Assume a normal distribution</w:t>
            </w:r>
          </w:p>
        </w:tc>
        <w:tc>
          <w:tcPr>
            <w:tcW w:type="dxa" w:w="151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</w:r>
          </w:p>
        </w:tc>
        <w:tc>
          <w:tcPr>
            <w:tcW w:type="dxa" w:w="482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</w:r>
          </w:p>
        </w:tc>
      </w:tr>
      <w:tr>
        <w:tc>
          <w:tcPr>
            <w:tcW w:type="dxa" w:w="360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Call 286.1 µε an outlier</w:t>
            </w:r>
          </w:p>
        </w:tc>
        <w:tc>
          <w:tcPr>
            <w:tcW w:type="dxa" w:w="151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</w:r>
          </w:p>
        </w:tc>
        <w:tc>
          <w:tcPr>
            <w:tcW w:type="dxa" w:w="482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</w:r>
          </w:p>
        </w:tc>
      </w:tr>
      <w:tr>
        <w:tc>
          <w:tcPr>
            <w:tcW w:type="dxa" w:w="360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Translate outlier → sensor fault</w:t>
            </w:r>
          </w:p>
        </w:tc>
        <w:tc>
          <w:tcPr>
            <w:tcW w:type="dxa" w:w="151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</w:r>
          </w:p>
        </w:tc>
        <w:tc>
          <w:tcPr>
            <w:tcW w:type="dxa" w:w="482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</w:r>
          </w:p>
        </w:tc>
      </w:tr>
      <w:tr>
        <w:tc>
          <w:tcPr>
            <w:tcW w:type="dxa" w:w="360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Discard the row</w:t>
            </w:r>
          </w:p>
        </w:tc>
        <w:tc>
          <w:tcPr>
            <w:tcW w:type="dxa" w:w="151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</w:r>
          </w:p>
        </w:tc>
        <w:tc>
          <w:tcPr>
            <w:tcW w:type="dxa" w:w="482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</w:r>
          </w:p>
        </w:tc>
      </w:tr>
      <w:tr>
        <w:tc>
          <w:tcPr>
            <w:tcW w:type="dxa" w:w="360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Close the physical-event question</w:t>
            </w:r>
          </w:p>
        </w:tc>
        <w:tc>
          <w:tcPr>
            <w:tcW w:type="dxa" w:w="151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</w:r>
          </w:p>
        </w:tc>
        <w:tc>
          <w:tcPr>
            <w:tcW w:type="dxa" w:w="482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</w:r>
          </w:p>
        </w:tc>
      </w:tr>
    </w:tbl>
    <w:p>
      <w:pPr>
        <w:spacing w:before="260" w:after="8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25"/>
          <w:caps w:val="1"/>
          <w:spacing w:val="12"/>
        </w:rPr>
        <w:t>C — Decision</w:t>
      </w:r>
    </w:p>
    <w:p>
      <w:pPr>
        <w:spacing w:before="0" w:after="120" w:line="276" w:lineRule="auto"/>
      </w:pPr>
      <w:r>
        <w:rPr>
          <w:rFonts w:ascii="Barlow" w:hAnsi="Barlow" w:cs="Barlow"/>
          <w:b w:val="0"/>
          <w:i w:val="0"/>
          <w:sz w:val="19"/>
        </w:rPr>
        <w:t>Write a bounded disposition: keep / remove / quarantine the reading; what the files support; what they do not prove; and the next engineering check.</w:t>
      </w:r>
    </w:p>
    <w:p>
      <w:pPr>
        <w:spacing w:before="40" w:after="200" w:line="276" w:lineRule="auto"/>
        <w:pBdr>
          <w:bottom w:val="single" w:sz="6" w:space="4" w:color="C9CFD6"/>
        </w:pBdr>
      </w:pPr>
    </w:p>
    <w:p>
      <w:pPr>
        <w:spacing w:before="40" w:after="200" w:line="276" w:lineRule="auto"/>
        <w:pBdr>
          <w:bottom w:val="single" w:sz="6" w:space="4" w:color="C9CFD6"/>
        </w:pBdr>
      </w:pPr>
    </w:p>
    <w:p>
      <w:pPr>
        <w:spacing w:before="40" w:after="200" w:line="276" w:lineRule="auto"/>
        <w:pBdr>
          <w:bottom w:val="single" w:sz="6" w:space="4" w:color="C9CFD6"/>
        </w:pBdr>
      </w:pPr>
    </w:p>
    <w:p>
      <w:pPr>
        <w:spacing w:before="40" w:after="200" w:line="276" w:lineRule="auto"/>
        <w:pBdr>
          <w:bottom w:val="single" w:sz="6" w:space="4" w:color="C9CFD6"/>
        </w:pBdr>
      </w:pPr>
    </w:p>
    <w:p>
      <w:pPr>
        <w:spacing w:before="40" w:after="200" w:line="276" w:lineRule="auto"/>
        <w:pBdr>
          <w:bottom w:val="single" w:sz="6" w:space="4" w:color="C9CFD6"/>
        </w:pBdr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152" w:bottom="1152" w:left="1152" w:header="576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tabs>
        <w:tab w:val="right" w:pos="9936"/>
      </w:tabs>
    </w:pPr>
    <w:r>
      <w:rPr>
        <w:rFonts w:ascii="Barlow" w:hAnsi="Barlow" w:cs="Barlow"/>
        <w:b w:val="0"/>
        <w:i w:val="0"/>
        <w:color w:val="6B7280"/>
        <w:sz w:val="16"/>
      </w:rPr>
      <w:t>SEIS 201  ·  M06</w:t>
    </w:r>
    <w:r>
      <w:tab/>
    </w:r>
    <w:r>
      <w:rPr>
        <w:rFonts w:ascii="Barlow" w:hAnsi="Barlow"/>
        <w:color w:val="6B7280"/>
        <w:sz w:val="16"/>
      </w:rPr>
      <w:fldChar w:fldCharType="begin"/>
      <w:instrText xml:space="preserve"> PAGE </w:instrText>
      <w:fldChar w:fldCharType="end"/>
    </w:r>
    <w:r>
      <w:rPr>
        <w:rFonts w:ascii="Barlow" w:hAnsi="Barlow"/>
        <w:color w:val="6B7280"/>
        <w:sz w:val="16"/>
      </w:rPr>
      <w:t xml:space="preserve"> of </w:t>
    </w:r>
    <w:r>
      <w:rPr>
        <w:rFonts w:ascii="Barlow" w:hAnsi="Barlow"/>
        <w:color w:val="6B7280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pBdr>
        <w:bottom w:val="single" w:sz="6" w:space="4" w:color="C9CFD6"/>
      </w:pBdr>
    </w:pPr>
    <w:r>
      <w:rPr>
        <w:rFonts w:ascii="Barlow Condensed" w:hAnsi="Barlow Condensed" w:cs="Barlow Condensed"/>
        <w:b w:val="0"/>
        <w:i w:val="0"/>
        <w:color w:val="6B7280"/>
        <w:sz w:val="17"/>
        <w:caps w:val="1"/>
        <w:spacing w:val="20"/>
      </w:rPr>
      <w:t>SEIS 201  ·  AI FOR CE/ME ENGINEERS</w:t>
    </w:r>
    <w:r>
      <w:tab/>
      <w:tab/>
    </w:r>
    <w:r>
      <w:rPr>
        <w:rFonts w:ascii="Barlow Condensed" w:hAnsi="Barlow Condensed" w:cs="Barlow Condensed"/>
        <w:b w:val="0"/>
        <w:i w:val="0"/>
        <w:color w:val="6B7280"/>
        <w:sz w:val="17"/>
        <w:caps w:val="1"/>
        <w:spacing w:val="20"/>
      </w:rPr>
      <w:t>M06  ·  AUDIT WORKSHEET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Barlow" w:hAnsi="Barlow" w:eastAsia="Barlo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