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20" w:line="240" w:lineRule="auto"/>
      </w:pPr>
      <w:r>
        <w:rPr>
          <w:rFonts w:ascii="Barlow Condensed" w:hAnsi="Barlow Condensed" w:cs="Barlow Condensed"/>
          <w:b/>
          <w:i w:val="0"/>
          <w:color w:val="1F3A5F"/>
          <w:sz w:val="42"/>
        </w:rPr>
        <w:t>Answer Key and Teaching Notes</w:t>
      </w:r>
    </w:p>
    <w:p>
      <w:pPr>
        <w:spacing w:before="120" w:after="160" w:line="276" w:lineRule="auto"/>
        <w:pBdr>
          <w:top w:val="single" w:sz="8" w:space="6" w:color="F26B1D"/>
          <w:left w:val="single" w:sz="8" w:space="6" w:color="F26B1D"/>
          <w:bottom w:val="single" w:sz="8" w:space="6" w:color="F26B1D"/>
          <w:right w:val="single" w:sz="8" w:space="6" w:color="F26B1D"/>
        </w:pBdr>
        <w:shd w:val="clear" w:fill="FFF1E8"/>
      </w:pPr>
      <w:r>
        <w:rPr>
          <w:rFonts w:ascii="Barlow Condensed" w:hAnsi="Barlow Condensed" w:cs="Barlow Condensed"/>
          <w:b/>
          <w:i w:val="0"/>
          <w:color w:val="2B2F36"/>
          <w:sz w:val="19"/>
          <w:caps w:val="1"/>
          <w:spacing w:val="10"/>
        </w:rPr>
        <w:t xml:space="preserve">Gated conclusion  </w:t>
      </w:r>
      <w:r>
        <w:rPr>
          <w:rFonts w:ascii="Barlow" w:hAnsi="Barlow" w:cs="Barlow"/>
          <w:b w:val="0"/>
          <w:i w:val="0"/>
          <w:sz w:val="19"/>
        </w:rPr>
        <w:t>The 03:00 reading aligns with a heavy vehicle in the independent traffic counter. It is an unusual but recorded physical event, not the M05 duplicate block. Do not put this conclusion in the student deck or distribute this key before the hunt.</w:t>
      </w:r>
    </w:p>
    <w:p>
      <w:pPr>
        <w:spacing w:before="260" w:after="80" w:line="240" w:lineRule="auto"/>
      </w:pPr>
      <w:r>
        <w:rPr>
          <w:rFonts w:ascii="Barlow Condensed" w:hAnsi="Barlow Condensed" w:cs="Barlow Condensed"/>
          <w:b/>
          <w:i w:val="0"/>
          <w:color w:val="1F3A5F"/>
          <w:sz w:val="25"/>
          <w:caps w:val="1"/>
          <w:spacing w:val="12"/>
        </w:rPr>
        <w:t>Evidence chain</w:t>
      </w:r>
    </w:p>
    <w:tbl>
      <w:tblPr>
        <w:tblStyle w:val="TableGrid"/>
        <w:tblW w:type="auto" w:w="0"/>
        <w:jc w:val="left"/>
        <w:tblLook w:firstColumn="1" w:firstRow="1" w:lastColumn="0" w:lastRow="0" w:noHBand="0" w:noVBand="1" w:val="04A0"/>
        <w:tblLayout w:type="fixed"/>
        <w:tblCellMar>
          <w:top w:w="60" w:type="dxa"/>
          <w:left w:w="110" w:type="dxa"/>
          <w:bottom w:w="60" w:type="dxa"/>
          <w:right w:w="110" w:type="dxa"/>
        </w:tblCellMar>
      </w:tblPr>
      <w:tblGrid>
        <w:gridCol w:w="4968"/>
        <w:gridCol w:w="4968"/>
      </w:tblGrid>
      <w:tr>
        <w:tc>
          <w:tcPr>
            <w:tcW w:type="dxa" w:w="2088"/>
            <w:shd w:val="clear" w:color="auto" w:fill="1F3A5F"/>
          </w:tcPr>
          <w:p>
            <w:pPr>
              <w:spacing w:before="20" w:after="20" w:line="252" w:lineRule="auto"/>
            </w:pPr>
            <w:r>
              <w:rPr>
                <w:rFonts w:ascii="Barlow Condensed" w:hAnsi="Barlow Condensed" w:cs="Barlow Condensed"/>
                <w:b/>
                <w:i w:val="0"/>
                <w:color w:val="FFFFFF"/>
                <w:sz w:val="16"/>
              </w:rPr>
              <w:t>Question</w:t>
            </w:r>
          </w:p>
        </w:tc>
        <w:tc>
          <w:tcPr>
            <w:tcW w:type="dxa" w:w="7848"/>
            <w:shd w:val="clear" w:color="auto" w:fill="1F3A5F"/>
          </w:tcPr>
          <w:p>
            <w:pPr>
              <w:spacing w:before="20" w:after="20" w:line="252" w:lineRule="auto"/>
            </w:pPr>
            <w:r>
              <w:rPr>
                <w:rFonts w:ascii="Barlow Condensed" w:hAnsi="Barlow Condensed" w:cs="Barlow Condensed"/>
                <w:b/>
                <w:i w:val="0"/>
                <w:color w:val="FFFFFF"/>
                <w:sz w:val="16"/>
              </w:rPr>
              <w:t>Key</w:t>
            </w:r>
          </w:p>
        </w:tc>
      </w:tr>
      <w:tr>
        <w:tc>
          <w:tcPr>
            <w:tcW w:type="dxa" w:w="2088"/>
          </w:tcPr>
          <w:p>
            <w:pPr>
              <w:spacing w:before="20" w:after="20" w:line="252" w:lineRule="auto"/>
            </w:pPr>
            <w:r>
              <w:rPr>
                <w:rFonts w:ascii="Barlow" w:hAnsi="Barlow" w:cs="Barlow"/>
                <w:b w:val="0"/>
                <w:i w:val="0"/>
                <w:sz w:val="16"/>
              </w:rPr>
              <w:t>Daily peaks</w:t>
            </w:r>
          </w:p>
        </w:tc>
        <w:tc>
          <w:tcPr>
            <w:tcW w:type="dxa" w:w="7848"/>
          </w:tcPr>
          <w:p>
            <w:pPr>
              <w:spacing w:before="20" w:after="20" w:line="252" w:lineRule="auto"/>
            </w:pPr>
            <w:r>
              <w:rPr>
                <w:rFonts w:ascii="Barlow" w:hAnsi="Barlow" w:cs="Barlow"/>
                <w:b w:val="0"/>
                <w:i w:val="0"/>
                <w:sz w:val="16"/>
              </w:rPr>
              <w:t>15 values; median 110.7 µε; range 104.0–286.1 µε.</w:t>
            </w:r>
          </w:p>
        </w:tc>
      </w:tr>
      <w:tr>
        <w:tc>
          <w:tcPr>
            <w:tcW w:type="dxa" w:w="2088"/>
            <w:shd w:val="clear" w:color="auto" w:fill="F4F6F8"/>
          </w:tcPr>
          <w:p>
            <w:pPr>
              <w:spacing w:before="20" w:after="20" w:line="252" w:lineRule="auto"/>
            </w:pPr>
            <w:r>
              <w:rPr>
                <w:rFonts w:ascii="Barlow" w:hAnsi="Barlow" w:cs="Barlow"/>
                <w:b w:val="0"/>
                <w:i w:val="0"/>
                <w:sz w:val="16"/>
              </w:rPr>
              <w:t>Shape</w:t>
            </w:r>
          </w:p>
        </w:tc>
        <w:tc>
          <w:tcPr>
            <w:tcW w:type="dxa" w:w="7848"/>
            <w:shd w:val="clear" w:color="auto" w:fill="F4F6F8"/>
          </w:tcPr>
          <w:p>
            <w:pPr>
              <w:spacing w:before="20" w:after="20" w:line="252" w:lineRule="auto"/>
            </w:pPr>
            <w:r>
              <w:rPr>
                <w:rFonts w:ascii="Barlow" w:hAnsi="Barlow" w:cs="Barlow"/>
                <w:b w:val="0"/>
                <w:i w:val="0"/>
                <w:sz w:val="16"/>
              </w:rPr>
              <w:t>Strong right tail. One extreme event; a normal model is not justified by this small, selected set.</w:t>
            </w:r>
          </w:p>
        </w:tc>
      </w:tr>
      <w:tr>
        <w:tc>
          <w:tcPr>
            <w:tcW w:type="dxa" w:w="2088"/>
          </w:tcPr>
          <w:p>
            <w:pPr>
              <w:spacing w:before="20" w:after="20" w:line="252" w:lineRule="auto"/>
            </w:pPr>
            <w:r>
              <w:rPr>
                <w:rFonts w:ascii="Barlow" w:hAnsi="Barlow" w:cs="Barlow"/>
                <w:b w:val="0"/>
                <w:i w:val="0"/>
                <w:sz w:val="16"/>
              </w:rPr>
              <w:t>Duplicate block</w:t>
            </w:r>
          </w:p>
        </w:tc>
        <w:tc>
          <w:tcPr>
            <w:tcW w:type="dxa" w:w="7848"/>
          </w:tcPr>
          <w:p>
            <w:pPr>
              <w:spacing w:before="20" w:after="20" w:line="252" w:lineRule="auto"/>
            </w:pPr>
            <w:r>
              <w:rPr>
                <w:rFonts w:ascii="Barlow" w:hAnsi="Barlow" w:cs="Barlow"/>
                <w:b w:val="0"/>
                <w:i w:val="0"/>
                <w:sz w:val="16"/>
              </w:rPr>
              <w:t>Feb 12, 14:00–15:00. It does not create or alter the Feb 16 03:00 event.</w:t>
            </w:r>
          </w:p>
        </w:tc>
      </w:tr>
      <w:tr>
        <w:tc>
          <w:tcPr>
            <w:tcW w:type="dxa" w:w="2088"/>
            <w:shd w:val="clear" w:color="auto" w:fill="F4F6F8"/>
          </w:tcPr>
          <w:p>
            <w:pPr>
              <w:spacing w:before="20" w:after="20" w:line="252" w:lineRule="auto"/>
            </w:pPr>
            <w:r>
              <w:rPr>
                <w:rFonts w:ascii="Barlow" w:hAnsi="Barlow" w:cs="Barlow"/>
                <w:b w:val="0"/>
                <w:i w:val="0"/>
                <w:sz w:val="16"/>
              </w:rPr>
              <w:t>Traffic match</w:t>
            </w:r>
          </w:p>
        </w:tc>
        <w:tc>
          <w:tcPr>
            <w:tcW w:type="dxa" w:w="7848"/>
            <w:shd w:val="clear" w:color="auto" w:fill="F4F6F8"/>
          </w:tcPr>
          <w:p>
            <w:pPr>
              <w:spacing w:before="20" w:after="20" w:line="252" w:lineRule="auto"/>
            </w:pPr>
            <w:r>
              <w:rPr>
                <w:rFonts w:ascii="Barlow" w:hAnsi="Barlow" w:cs="Barlow"/>
                <w:b w:val="0"/>
                <w:i w:val="0"/>
                <w:sz w:val="16"/>
              </w:rPr>
              <w:t>03:00 CST: 5-axle heavy vehicle, estimated 79,400 lb, quality flag OK.</w:t>
            </w:r>
          </w:p>
        </w:tc>
      </w:tr>
      <w:tr>
        <w:tc>
          <w:tcPr>
            <w:tcW w:type="dxa" w:w="2088"/>
          </w:tcPr>
          <w:p>
            <w:pPr>
              <w:spacing w:before="20" w:after="20" w:line="252" w:lineRule="auto"/>
            </w:pPr>
            <w:r>
              <w:rPr>
                <w:rFonts w:ascii="Barlow" w:hAnsi="Barlow" w:cs="Barlow"/>
                <w:b w:val="0"/>
                <w:i w:val="0"/>
                <w:sz w:val="16"/>
              </w:rPr>
              <w:t>Gauge pattern</w:t>
            </w:r>
          </w:p>
        </w:tc>
        <w:tc>
          <w:tcPr>
            <w:tcW w:type="dxa" w:w="7848"/>
          </w:tcPr>
          <w:p>
            <w:pPr>
              <w:spacing w:before="20" w:after="20" w:line="252" w:lineRule="auto"/>
            </w:pPr>
            <w:r>
              <w:rPr>
                <w:rFonts w:ascii="Barlow" w:hAnsi="Barlow" w:cs="Barlow"/>
                <w:b w:val="0"/>
                <w:i w:val="0"/>
                <w:sz w:val="16"/>
              </w:rPr>
              <w:t>All eight corrected gauges rise at 03:00; G6 is highest at 286.1 µε.</w:t>
            </w:r>
          </w:p>
        </w:tc>
      </w:tr>
      <w:tr>
        <w:tc>
          <w:tcPr>
            <w:tcW w:type="dxa" w:w="2088"/>
            <w:shd w:val="clear" w:color="auto" w:fill="F4F6F8"/>
          </w:tcPr>
          <w:p>
            <w:pPr>
              <w:spacing w:before="20" w:after="20" w:line="252" w:lineRule="auto"/>
            </w:pPr>
            <w:r>
              <w:rPr>
                <w:rFonts w:ascii="Barlow" w:hAnsi="Barlow" w:cs="Barlow"/>
                <w:b w:val="0"/>
                <w:i w:val="0"/>
                <w:sz w:val="16"/>
              </w:rPr>
              <w:t>Physical conclusion</w:t>
            </w:r>
          </w:p>
        </w:tc>
        <w:tc>
          <w:tcPr>
            <w:tcW w:type="dxa" w:w="7848"/>
            <w:shd w:val="clear" w:color="auto" w:fill="F4F6F8"/>
          </w:tcPr>
          <w:p>
            <w:pPr>
              <w:spacing w:before="20" w:after="20" w:line="252" w:lineRule="auto"/>
            </w:pPr>
            <w:r>
              <w:rPr>
                <w:rFonts w:ascii="Barlow" w:hAnsi="Barlow" w:cs="Barlow"/>
                <w:b w:val="0"/>
                <w:i w:val="0"/>
                <w:sz w:val="16"/>
              </w:rPr>
              <w:t>The records align in time. They support retaining the event; they do not alone prove structural safety or causation.</w:t>
            </w:r>
          </w:p>
        </w:tc>
      </w:tr>
    </w:tbl>
    <w:p>
      <w:pPr>
        <w:spacing w:before="260" w:after="80" w:line="240" w:lineRule="auto"/>
      </w:pPr>
      <w:r>
        <w:rPr>
          <w:rFonts w:ascii="Barlow Condensed" w:hAnsi="Barlow Condensed" w:cs="Barlow Condensed"/>
          <w:b/>
          <w:i w:val="0"/>
          <w:color w:val="1F3A5F"/>
          <w:sz w:val="25"/>
          <w:caps w:val="1"/>
          <w:spacing w:val="12"/>
        </w:rPr>
        <w:t>Audit of FOREMAN</w:t>
      </w:r>
    </w:p>
    <w:p>
      <w:pPr>
        <w:pStyle w:val="ListBullet"/>
        <w:spacing w:after="60" w:line="269" w:lineRule="auto"/>
        <w:ind w:left="346"/>
      </w:pPr>
      <w:r>
        <w:rPr>
          <w:rFonts w:ascii="Barlow" w:hAnsi="Barlow" w:cs="Barlow"/>
          <w:b/>
          <w:i w:val="0"/>
          <w:sz w:val="20"/>
        </w:rPr>
        <w:t xml:space="preserve">Reasonable: </w:t>
      </w:r>
      <w:r>
        <w:rPr>
          <w:rFonts w:ascii="Barlow" w:hAnsi="Barlow" w:cs="Barlow"/>
          <w:b w:val="0"/>
          <w:i w:val="0"/>
          <w:sz w:val="20"/>
        </w:rPr>
        <w:t>use daily peaks to ask whether the event is unusual; remove the known duplicate payload before counting.</w:t>
      </w:r>
    </w:p>
    <w:p>
      <w:pPr>
        <w:pStyle w:val="ListBullet"/>
        <w:spacing w:after="60" w:line="269" w:lineRule="auto"/>
        <w:ind w:left="346"/>
      </w:pPr>
      <w:r>
        <w:rPr>
          <w:rFonts w:ascii="Barlow" w:hAnsi="Barlow" w:cs="Barlow"/>
          <w:b/>
          <w:i w:val="0"/>
          <w:sz w:val="20"/>
        </w:rPr>
        <w:t xml:space="preserve">Unsupported: </w:t>
      </w:r>
      <w:r>
        <w:rPr>
          <w:rFonts w:ascii="Barlow" w:hAnsi="Barlow" w:cs="Barlow"/>
          <w:b w:val="0"/>
          <w:i w:val="0"/>
          <w:sz w:val="20"/>
        </w:rPr>
        <w:t>assume normality from 15 selected maxima, then use rarity as proof of sensor fault.</w:t>
      </w:r>
    </w:p>
    <w:p>
      <w:pPr>
        <w:pStyle w:val="ListBullet"/>
        <w:spacing w:after="60" w:line="269" w:lineRule="auto"/>
        <w:ind w:left="346"/>
      </w:pPr>
      <w:r>
        <w:rPr>
          <w:rFonts w:ascii="Barlow" w:hAnsi="Barlow" w:cs="Barlow"/>
          <w:b/>
          <w:i w:val="0"/>
          <w:sz w:val="20"/>
        </w:rPr>
        <w:t xml:space="preserve">Category error: </w:t>
      </w:r>
      <w:r>
        <w:rPr>
          <w:rFonts w:ascii="Barlow" w:hAnsi="Barlow" w:cs="Barlow"/>
          <w:b w:val="0"/>
          <w:i w:val="0"/>
          <w:sz w:val="20"/>
        </w:rPr>
        <w:t>“outlier” is a statistical description, not a physical diagnosis.</w:t>
      </w:r>
    </w:p>
    <w:p>
      <w:pPr>
        <w:pStyle w:val="ListBullet"/>
        <w:spacing w:after="60" w:line="269" w:lineRule="auto"/>
        <w:ind w:left="346"/>
      </w:pPr>
      <w:r>
        <w:rPr>
          <w:rFonts w:ascii="Barlow" w:hAnsi="Barlow" w:cs="Barlow"/>
          <w:b/>
          <w:i w:val="0"/>
          <w:sz w:val="20"/>
        </w:rPr>
        <w:t xml:space="preserve">Missed tool call: </w:t>
      </w:r>
      <w:r>
        <w:rPr>
          <w:rFonts w:ascii="Barlow" w:hAnsi="Barlow" w:cs="Barlow"/>
          <w:b w:val="0"/>
          <w:i w:val="0"/>
          <w:sz w:val="20"/>
        </w:rPr>
        <w:t>the independent traffic record was available and not queried.</w:t>
      </w:r>
    </w:p>
    <w:p>
      <w:pPr>
        <w:pStyle w:val="ListBullet"/>
        <w:spacing w:after="60" w:line="269" w:lineRule="auto"/>
        <w:ind w:left="346"/>
      </w:pPr>
      <w:r>
        <w:rPr>
          <w:rFonts w:ascii="Barlow" w:hAnsi="Barlow" w:cs="Barlow"/>
          <w:b/>
          <w:i w:val="0"/>
          <w:sz w:val="20"/>
        </w:rPr>
        <w:t xml:space="preserve">Disposition: </w:t>
      </w:r>
      <w:r>
        <w:rPr>
          <w:rFonts w:ascii="Barlow" w:hAnsi="Barlow" w:cs="Barlow"/>
          <w:b w:val="0"/>
          <w:i w:val="0"/>
          <w:sz w:val="20"/>
        </w:rPr>
        <w:t>retain and annotate the event; do not delete it. Escalation still requires engineering review.</w:t>
      </w:r>
    </w:p>
    <w:p>
      <w:pPr>
        <w:spacing w:before="260" w:after="80" w:line="240" w:lineRule="auto"/>
      </w:pPr>
      <w:r>
        <w:rPr>
          <w:rFonts w:ascii="Barlow Condensed" w:hAnsi="Barlow Condensed" w:cs="Barlow Condensed"/>
          <w:b/>
          <w:i w:val="0"/>
          <w:color w:val="1F3A5F"/>
          <w:sz w:val="25"/>
          <w:caps w:val="1"/>
          <w:spacing w:val="12"/>
        </w:rPr>
        <w:t>Model bounded decision</w:t>
      </w:r>
    </w:p>
    <w:p>
      <w:pPr>
        <w:spacing w:before="120" w:after="160" w:line="276" w:lineRule="auto"/>
        <w:pBdr>
          <w:top w:val="single" w:sz="8" w:space="6" w:color="6F8FAF"/>
          <w:left w:val="single" w:sz="8" w:space="6" w:color="6F8FAF"/>
          <w:bottom w:val="single" w:sz="8" w:space="6" w:color="6F8FAF"/>
          <w:right w:val="single" w:sz="8" w:space="6" w:color="6F8FAF"/>
        </w:pBdr>
        <w:shd w:val="clear" w:fill="EEF3F8"/>
      </w:pPr>
      <w:r>
        <w:rPr>
          <w:rFonts w:ascii="Barlow Condensed" w:hAnsi="Barlow Condensed" w:cs="Barlow Condensed"/>
          <w:b/>
          <w:i w:val="0"/>
          <w:color w:val="2B2F36"/>
          <w:sz w:val="19"/>
          <w:caps w:val="1"/>
          <w:spacing w:val="10"/>
        </w:rPr>
        <w:t xml:space="preserve">Reveal only after collection  </w:t>
      </w:r>
      <w:r>
        <w:rPr>
          <w:rFonts w:ascii="Barlow" w:hAnsi="Barlow" w:cs="Barlow"/>
          <w:b w:val="0"/>
          <w:i w:val="0"/>
          <w:sz w:val="19"/>
        </w:rPr>
        <w:t>I retained and annotated the 03:00 reading because it appears in the corrected feed, all gauges rise at the same timestamp, and the traffic counter records a heavy vehicle then; the duplicate block occurs on a different day. The evidence supports a real crossing-related event, but not by itself a safety disposition, so the next step is engineering review of the vehicle estimate and bridge response.</w:t>
      </w:r>
    </w:p>
    <w:p>
      <w:pPr>
        <w:spacing w:before="260" w:after="80" w:line="240" w:lineRule="auto"/>
      </w:pPr>
      <w:r>
        <w:rPr>
          <w:rFonts w:ascii="Barlow Condensed" w:hAnsi="Barlow Condensed" w:cs="Barlow Condensed"/>
          <w:b/>
          <w:i w:val="0"/>
          <w:color w:val="1F3A5F"/>
          <w:sz w:val="25"/>
          <w:caps w:val="1"/>
          <w:spacing w:val="12"/>
        </w:rPr>
        <w:t>Unit close and callback</w:t>
      </w:r>
    </w:p>
    <w:p>
      <w:pPr>
        <w:spacing w:before="0" w:after="120" w:line="276" w:lineRule="auto"/>
      </w:pPr>
      <w:r>
        <w:rPr>
          <w:rFonts w:ascii="Barlow" w:hAnsi="Barlow" w:cs="Barlow"/>
          <w:b w:val="0"/>
          <w:i w:val="0"/>
          <w:sz w:val="20"/>
        </w:rPr>
        <w:t>Collect H6-03, then have every student complete H6-04 and hand the spreadsheet to Wes explicitly. Say only that the file is leaving their desk. Instructor continuity: preserve the February workbook unchanged; it returns at M25. Do not announce that callback to students.</w:t>
      </w:r>
    </w:p>
    <w:sectPr w:rsidR="00FC693F" w:rsidRPr="0006063C" w:rsidSect="00034616">
      <w:headerReference w:type="default" r:id="rId9"/>
      <w:footerReference w:type="default" r:id="rId10"/>
      <w:pgSz w:w="12240" w:h="15840"/>
      <w:pgMar w:top="1224" w:right="1152" w:bottom="1152" w:left="1152" w:header="576"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tabs>
        <w:tab w:val="right" w:pos="9936"/>
      </w:tabs>
    </w:pPr>
    <w:r>
      <w:rPr>
        <w:rFonts w:ascii="Barlow" w:hAnsi="Barlow" w:cs="Barlow"/>
        <w:b w:val="0"/>
        <w:i w:val="0"/>
        <w:color w:val="6B7280"/>
        <w:sz w:val="16"/>
      </w:rPr>
      <w:t>SEIS 201  ·  M06</w:t>
    </w:r>
    <w:r>
      <w:tab/>
    </w:r>
    <w:r>
      <w:rPr>
        <w:rFonts w:ascii="Barlow" w:hAnsi="Barlow"/>
        <w:color w:val="6B7280"/>
        <w:sz w:val="16"/>
      </w:rPr>
      <w:fldChar w:fldCharType="begin"/>
      <w:instrText xml:space="preserve"> PAGE </w:instrText>
      <w:fldChar w:fldCharType="end"/>
    </w:r>
    <w:r>
      <w:rPr>
        <w:rFonts w:ascii="Barlow" w:hAnsi="Barlow"/>
        <w:color w:val="6B7280"/>
        <w:sz w:val="16"/>
      </w:rPr>
      <w:t xml:space="preserve"> of </w:t>
    </w:r>
    <w:r>
      <w:rPr>
        <w:rFonts w:ascii="Barlow" w:hAnsi="Barlow"/>
        <w:color w:val="6B7280"/>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Bdr>
        <w:bottom w:val="single" w:sz="6" w:space="4" w:color="C9CFD6"/>
      </w:pBdr>
    </w:pPr>
    <w:r>
      <w:rPr>
        <w:rFonts w:ascii="Barlow Condensed" w:hAnsi="Barlow Condensed" w:cs="Barlow Condensed"/>
        <w:b w:val="0"/>
        <w:i w:val="0"/>
        <w:color w:val="6B7280"/>
        <w:sz w:val="17"/>
        <w:caps w:val="1"/>
        <w:spacing w:val="20"/>
      </w:rPr>
      <w:t>SEIS 201  ·  AI FOR CE/ME ENGINEERS</w:t>
    </w:r>
    <w:r>
      <w:tab/>
      <w:tab/>
    </w:r>
    <w:r>
      <w:rPr>
        <w:rFonts w:ascii="Barlow Condensed" w:hAnsi="Barlow Condensed" w:cs="Barlow Condensed"/>
        <w:b w:val="0"/>
        <w:i w:val="0"/>
        <w:color w:val="6B7280"/>
        <w:sz w:val="17"/>
        <w:caps w:val="1"/>
        <w:spacing w:val="20"/>
      </w:rPr>
      <w:t>M06  ·  INSTRUCTOR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arlow" w:hAnsi="Barlow" w:eastAsia="Barlo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