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12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42"/>
        </w:rPr>
        <w:t>What is in this pack</w:t>
      </w:r>
    </w:p>
    <w:p>
      <w:pPr>
        <w:spacing w:before="0" w:after="200" w:line="276" w:lineRule="auto"/>
      </w:pPr>
      <w:r>
        <w:rPr>
          <w:rFonts w:ascii="Barlow" w:hAnsi="Barlow" w:cs="Barlow"/>
          <w:b w:val="0"/>
          <w:i w:val="0"/>
          <w:color w:val="6B7280"/>
          <w:sz w:val="18"/>
        </w:rPr>
        <w:t>M13 is folder 17 in teaching order. It is designed to follow the separately built M11 dashboard and M12 chart packs when those branches land.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3960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3"/>
              </w:rPr>
              <w:t>Folder</w:t>
            </w:r>
          </w:p>
        </w:tc>
        <w:tc>
          <w:tcPr>
            <w:tcW w:type="dxa" w:w="5976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3"/>
              </w:rPr>
              <w:t>Purpose</w:t>
            </w:r>
          </w:p>
        </w:tc>
      </w:tr>
      <w:tr>
        <w:tc>
          <w:tcPr>
            <w:tcW w:type="dxa" w:w="396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00-INSTRUCTOR</w:t>
            </w:r>
          </w:p>
        </w:tc>
        <w:tc>
          <w:tcPr>
            <w:tcW w:type="dxa" w:w="597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Run-of-day desk, faculty brief, source SAY notes, and this index</w:t>
            </w:r>
          </w:p>
        </w:tc>
      </w:tr>
      <w:tr>
        <w:tc>
          <w:tcPr>
            <w:tcW w:type="dxa" w:w="396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01-BRAND-KIT</w:t>
            </w:r>
          </w:p>
        </w:tc>
        <w:tc>
          <w:tcPr>
            <w:tcW w:type="dxa" w:w="597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ACMEJOB logos, fonts, templates, and brand guide</w:t>
            </w:r>
          </w:p>
        </w:tc>
      </w:tr>
      <w:tr>
        <w:tc>
          <w:tcPr>
            <w:tcW w:type="dxa" w:w="396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02-M01-first-day</w:t>
            </w:r>
          </w:p>
        </w:tc>
        <w:tc>
          <w:tcPr>
            <w:tcW w:type="dxa" w:w="597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Rules versus learned patterns</w:t>
            </w:r>
          </w:p>
        </w:tc>
      </w:tr>
      <w:tr>
        <w:tc>
          <w:tcPr>
            <w:tcW w:type="dxa" w:w="396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03-M02-measurement</w:t>
            </w:r>
          </w:p>
        </w:tc>
        <w:tc>
          <w:tcPr>
            <w:tcW w:type="dxa" w:w="597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Measurement, resolution, uncertainty, and G6</w:t>
            </w:r>
          </w:p>
        </w:tc>
      </w:tr>
      <w:tr>
        <w:tc>
          <w:tcPr>
            <w:tcW w:type="dxa" w:w="396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04-M03-hallucination</w:t>
            </w:r>
          </w:p>
        </w:tc>
        <w:tc>
          <w:tcPr>
            <w:tcW w:type="dxa" w:w="597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Next-token generation and source checking</w:t>
            </w:r>
          </w:p>
        </w:tc>
      </w:tr>
      <w:tr>
        <w:tc>
          <w:tcPr>
            <w:tcW w:type="dxa" w:w="396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05-CHARTS</w:t>
            </w:r>
          </w:p>
        </w:tc>
        <w:tc>
          <w:tcPr>
            <w:tcW w:type="dxa" w:w="597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Reusable meeting-deck charts</w:t>
            </w:r>
          </w:p>
        </w:tc>
      </w:tr>
      <w:tr>
        <w:tc>
          <w:tcPr>
            <w:tcW w:type="dxa" w:w="396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06-BRIDGE</w:t>
            </w:r>
          </w:p>
        </w:tc>
        <w:tc>
          <w:tcPr>
            <w:tcW w:type="dxa" w:w="597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Reusable bridge illustrations and schematics</w:t>
            </w:r>
          </w:p>
        </w:tc>
      </w:tr>
      <w:tr>
        <w:tc>
          <w:tcPr>
            <w:tcW w:type="dxa" w:w="396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07-HW-CASE-B-LIFT-STATION</w:t>
            </w:r>
          </w:p>
        </w:tc>
        <w:tc>
          <w:tcPr>
            <w:tcW w:type="dxa" w:w="597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M02 transfer homework and instructor key</w:t>
            </w:r>
          </w:p>
        </w:tc>
      </w:tr>
      <w:tr>
        <w:tc>
          <w:tcPr>
            <w:tcW w:type="dxa" w:w="396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08-M04-one-number</w:t>
            </w:r>
          </w:p>
        </w:tc>
        <w:tc>
          <w:tcPr>
            <w:tcW w:type="dxa" w:w="597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Center, spread, CV, low count, and sample scope</w:t>
            </w:r>
          </w:p>
        </w:tc>
      </w:tr>
      <w:tr>
        <w:tc>
          <w:tcPr>
            <w:tcW w:type="dxa" w:w="396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09-M05-overnight-alarm</w:t>
            </w:r>
          </w:p>
        </w:tc>
        <w:tc>
          <w:tcPr>
            <w:tcW w:type="dxa" w:w="597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Agent loop, threshold alarm, and unresolved event</w:t>
            </w:r>
          </w:p>
        </w:tc>
      </w:tr>
      <w:tr>
        <w:tc>
          <w:tcPr>
            <w:tcW w:type="dxa" w:w="396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10-M06-alarm-audit</w:t>
            </w:r>
          </w:p>
        </w:tc>
        <w:tc>
          <w:tcPr>
            <w:tcW w:type="dxa" w:w="597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Distribution audit, traffic corroboration, and Unit 1 handoff</w:t>
            </w:r>
          </w:p>
        </w:tc>
      </w:tr>
      <w:tr>
        <w:tc>
          <w:tcPr>
            <w:tcW w:type="dxa" w:w="396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11-M07-training-mismatch</w:t>
            </w:r>
          </w:p>
        </w:tc>
        <w:tc>
          <w:tcPr>
            <w:tcW w:type="dxa" w:w="597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Training bias, distribution shift, and Unit 2 note v2</w:t>
            </w:r>
          </w:p>
        </w:tc>
      </w:tr>
      <w:tr>
        <w:tc>
          <w:tcPr>
            <w:tcW w:type="dxa" w:w="396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12-M08-spurious-correlation</w:t>
            </w:r>
          </w:p>
        </w:tc>
        <w:tc>
          <w:tcPr>
            <w:tcW w:type="dxa" w:w="597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Correlation, regression, thermal confound, and HW4</w:t>
            </w:r>
          </w:p>
        </w:tc>
      </w:tr>
      <w:tr>
        <w:tc>
          <w:tcPr>
            <w:tcW w:type="dxa" w:w="396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13-M09-false-precision</w:t>
            </w:r>
          </w:p>
        </w:tc>
        <w:tc>
          <w:tcPr>
            <w:tcW w:type="dxa" w:w="597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Overconfidence, false precision, sampling, and sample scope</w:t>
            </w:r>
          </w:p>
        </w:tc>
      </w:tr>
      <w:tr>
        <w:tc>
          <w:tcPr>
            <w:tcW w:type="dxa" w:w="396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14-M10-deterioration-v-noise</w:t>
            </w:r>
          </w:p>
        </w:tc>
        <w:tc>
          <w:tcPr>
            <w:tcW w:type="dxa" w:w="597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Paired intervals, signal/noise audit, and HW5 callback</w:t>
            </w:r>
          </w:p>
        </w:tc>
      </w:tr>
      <w:tr>
        <w:tc>
          <w:tcPr>
            <w:tcW w:type="dxa" w:w="396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15-M11-dashboard-publish</w:t>
            </w:r>
          </w:p>
        </w:tc>
        <w:tc>
          <w:tcPr>
            <w:tcW w:type="dxa" w:w="597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Agent dashboard and human publish checkpoint</w:t>
            </w:r>
          </w:p>
        </w:tc>
      </w:tr>
      <w:tr>
        <w:tc>
          <w:tcPr>
            <w:tcW w:type="dxa" w:w="396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16-M12-chart-critique</w:t>
            </w:r>
          </w:p>
        </w:tc>
        <w:tc>
          <w:tcPr>
            <w:tcW w:type="dxa" w:w="597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Chart selection, axes, and misleading visual claims</w:t>
            </w:r>
          </w:p>
        </w:tc>
      </w:tr>
      <w:tr>
        <w:tc>
          <w:tcPr>
            <w:tcW w:type="dxa" w:w="396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17-M13-wes-handoff</w:t>
            </w:r>
          </w:p>
        </w:tc>
        <w:tc>
          <w:tcPr>
            <w:tcW w:type="dxa" w:w="597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Pipeline ingestion, mixed formats, missing data, and Unit 2 debrief</w:t>
            </w:r>
          </w:p>
        </w:tc>
      </w:tr>
    </w:tbl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17-M13-wes-handoff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460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4"/>
              </w:rPr>
              <w:t>File</w:t>
            </w:r>
          </w:p>
        </w:tc>
        <w:tc>
          <w:tcPr>
            <w:tcW w:type="dxa" w:w="532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4"/>
              </w:rPr>
              <w:t>What it is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M13-student.pptx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Spoiler-safe inbox, concepts, trace hunt, Note v2, and debrief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M13-instructor-reveal.pptx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Gated silent-ingestion reveal and one worked trace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wes_handoff.xlsx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Two delivered source sheets from Wes’s four-sheet handoff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WES-M13-partial-handoff-note.docx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Late handoff, Diane direction, and M07 liability color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FOREMAN-M13-pipeline-log.docx / .csv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Orange machine run record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M13-pipeline-output.csv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Ten rows emitted to the existing consumer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H13-01-pipeline-trace-hunt.docx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One-value end-to-end trace worksheet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H13-02-pipeline-concepts.docx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Six concepts and minimum visible records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H13-03-note-v2-unchecked-log.docx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Claim/check/result plus unchecked-column log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H13-04-unit-2-debrief.docx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Mask-off Unit 2 debrief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KEY-M13-answer-key.docx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Instructor-only reveal, worked trace, and boundaries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../00-INSTRUCTOR/source-notes/M13-story-SAY.md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Cloud-PASS M13 canon story and SAY source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224" w:right="1152" w:bottom="1152" w:left="1152" w:header="576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tabs>
        <w:tab w:val="right" w:pos="9936"/>
      </w:tabs>
    </w:pPr>
    <w:r>
      <w:rPr>
        <w:rFonts w:ascii="Barlow" w:hAnsi="Barlow" w:cs="Barlow"/>
        <w:b w:val="0"/>
        <w:i w:val="0"/>
        <w:color w:val="6B7280"/>
        <w:sz w:val="16"/>
      </w:rPr>
      <w:t>SEIS 201  ·  M01 – M13</w:t>
    </w:r>
    <w:r>
      <w:tab/>
    </w:r>
    <w:r>
      <w:rPr>
        <w:rFonts w:ascii="Barlow" w:hAnsi="Barlow"/>
        <w:color w:val="6B7280"/>
        <w:sz w:val="16"/>
      </w:rPr>
      <w:fldChar w:fldCharType="begin"/>
      <w:instrText xml:space="preserve"> PAGE </w:instrText>
      <w:fldChar w:fldCharType="end"/>
    </w:r>
    <w:r>
      <w:rPr>
        <w:rFonts w:ascii="Barlow" w:hAnsi="Barlow"/>
        <w:color w:val="6B7280"/>
        <w:sz w:val="16"/>
      </w:rPr>
      <w:t xml:space="preserve"> of </w:t>
    </w:r>
    <w:r>
      <w:rPr>
        <w:rFonts w:ascii="Barlow" w:hAnsi="Barlow"/>
        <w:color w:val="6B7280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60"/>
      <w:pBdr>
        <w:bottom w:val="single" w:sz="6" w:space="4" w:color="C9CFD6"/>
      </w:pBdr>
    </w:pPr>
    <w:r>
      <w:rPr>
        <w:rFonts w:ascii="Barlow Condensed" w:hAnsi="Barlow Condensed" w:cs="Barlow Condensed"/>
        <w:b w:val="0"/>
        <w:i w:val="0"/>
        <w:color w:val="6B7280"/>
        <w:sz w:val="17"/>
        <w:caps w:val="1"/>
        <w:spacing w:val="20"/>
      </w:rPr>
      <w:t>SEIS 201  ·  AI FOR CE/ME ENGINEERS</w:t>
    </w:r>
    <w:r>
      <w:tab/>
      <w:tab/>
    </w:r>
    <w:r>
      <w:rPr>
        <w:rFonts w:ascii="Barlow Condensed" w:hAnsi="Barlow Condensed" w:cs="Barlow Condensed"/>
        <w:b w:val="0"/>
        <w:i w:val="0"/>
        <w:color w:val="6B7280"/>
        <w:sz w:val="17"/>
        <w:caps w:val="1"/>
        <w:spacing w:val="20"/>
      </w:rPr>
      <w:t>M01 – M13  ·  FILE INDEX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Barlow" w:hAnsi="Barlow" w:eastAsia="Barlow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2027-03-16T12:00:00Z</dcterms:created>
  <dcterms:modified xsi:type="dcterms:W3CDTF">2027-03-16T12:00:00Z</dcterms:modified>
  <cp:category/>
</cp:coreProperties>
</file>