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8"/>
        </w:rPr>
        <w:t>Folders are in teaching order. M07 opens Unit 2 and preserves the student hunt by separating evidence from the gated applicability conclusion.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3672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Folder</w:t>
            </w:r>
          </w:p>
        </w:tc>
        <w:tc>
          <w:tcPr>
            <w:tcW w:type="dxa" w:w="626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67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00-INSTRUCTOR</w:t>
            </w:r>
          </w:p>
        </w:tc>
        <w:tc>
          <w:tcPr>
            <w:tcW w:type="dxa" w:w="62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Run-of-day desk, faculty brief, source SAY notes, and this index</w:t>
            </w:r>
          </w:p>
        </w:tc>
      </w:tr>
      <w:tr>
        <w:tc>
          <w:tcPr>
            <w:tcW w:type="dxa" w:w="367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01-BRAND-KIT</w:t>
            </w:r>
          </w:p>
        </w:tc>
        <w:tc>
          <w:tcPr>
            <w:tcW w:type="dxa" w:w="626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ACMEJOB logos, fonts, templates, and brand guide</w:t>
            </w:r>
          </w:p>
        </w:tc>
      </w:tr>
      <w:tr>
        <w:tc>
          <w:tcPr>
            <w:tcW w:type="dxa" w:w="367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02-M01-first-day</w:t>
            </w:r>
          </w:p>
        </w:tc>
        <w:tc>
          <w:tcPr>
            <w:tcW w:type="dxa" w:w="62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Rules versus learned patterns</w:t>
            </w:r>
          </w:p>
        </w:tc>
      </w:tr>
      <w:tr>
        <w:tc>
          <w:tcPr>
            <w:tcW w:type="dxa" w:w="367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03-M02-measurement</w:t>
            </w:r>
          </w:p>
        </w:tc>
        <w:tc>
          <w:tcPr>
            <w:tcW w:type="dxa" w:w="626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Measurement, resolution, uncertainty, and G6</w:t>
            </w:r>
          </w:p>
        </w:tc>
      </w:tr>
      <w:tr>
        <w:tc>
          <w:tcPr>
            <w:tcW w:type="dxa" w:w="367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04-M03-hallucination</w:t>
            </w:r>
          </w:p>
        </w:tc>
        <w:tc>
          <w:tcPr>
            <w:tcW w:type="dxa" w:w="62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Next-token generation and source checking</w:t>
            </w:r>
          </w:p>
        </w:tc>
      </w:tr>
      <w:tr>
        <w:tc>
          <w:tcPr>
            <w:tcW w:type="dxa" w:w="367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05-CHARTS</w:t>
            </w:r>
          </w:p>
        </w:tc>
        <w:tc>
          <w:tcPr>
            <w:tcW w:type="dxa" w:w="626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Reusable meeting-deck charts</w:t>
            </w:r>
          </w:p>
        </w:tc>
      </w:tr>
      <w:tr>
        <w:tc>
          <w:tcPr>
            <w:tcW w:type="dxa" w:w="367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06-BRIDGE</w:t>
            </w:r>
          </w:p>
        </w:tc>
        <w:tc>
          <w:tcPr>
            <w:tcW w:type="dxa" w:w="62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Reusable bridge illustrations and schematics</w:t>
            </w:r>
          </w:p>
        </w:tc>
      </w:tr>
      <w:tr>
        <w:tc>
          <w:tcPr>
            <w:tcW w:type="dxa" w:w="367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07-HW-CASE-B-LIFT-STATION</w:t>
            </w:r>
          </w:p>
        </w:tc>
        <w:tc>
          <w:tcPr>
            <w:tcW w:type="dxa" w:w="626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M02 transfer homework and instructor key</w:t>
            </w:r>
          </w:p>
        </w:tc>
      </w:tr>
      <w:tr>
        <w:tc>
          <w:tcPr>
            <w:tcW w:type="dxa" w:w="367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08-M04-one-number</w:t>
            </w:r>
          </w:p>
        </w:tc>
        <w:tc>
          <w:tcPr>
            <w:tcW w:type="dxa" w:w="62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Center, spread, CV, low count, and sample scope</w:t>
            </w:r>
          </w:p>
        </w:tc>
      </w:tr>
      <w:tr>
        <w:tc>
          <w:tcPr>
            <w:tcW w:type="dxa" w:w="367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09-M05-overnight-alarm</w:t>
            </w:r>
          </w:p>
        </w:tc>
        <w:tc>
          <w:tcPr>
            <w:tcW w:type="dxa" w:w="626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Agent loop, threshold alarm, and unresolved event</w:t>
            </w:r>
          </w:p>
        </w:tc>
      </w:tr>
      <w:tr>
        <w:tc>
          <w:tcPr>
            <w:tcW w:type="dxa" w:w="367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10-M06-alarm-audit</w:t>
            </w:r>
          </w:p>
        </w:tc>
        <w:tc>
          <w:tcPr>
            <w:tcW w:type="dxa" w:w="62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Distribution audit, traffic corroboration, and Unit 1 handoff</w:t>
            </w:r>
          </w:p>
        </w:tc>
      </w:tr>
      <w:tr>
        <w:tc>
          <w:tcPr>
            <w:tcW w:type="dxa" w:w="367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11-M07-training-mismatch</w:t>
            </w:r>
          </w:p>
        </w:tc>
        <w:tc>
          <w:tcPr>
            <w:tcW w:type="dxa" w:w="626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Training bias, distribution shift, out-of-domain use, and Unit 2 note v2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11-M07-training-mismatch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M07-student.pptx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Spoiler-safe concept and hunt deck with approved Oli SAY in notes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M07-instructor-reveal.pptx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Gated coverage conclusion and bounded action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H7-01-vendor-training-summary.docx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Highway-girder / warm-state training coverage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H7-02-Otter-Bend-site-and-exposure.docx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Lift machinery, freeze–thaw, and road-salt deployment conditions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H7-03-inspection-photo-set.docx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Twelve simulated field-image records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H7-04-confidence-score-log.docx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Clean / high-confidence ratings across all 12 records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H7-05-training-to-deployment-audit.docx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Student comparison and recommendation worksheet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H7-06-note-v2-and-decision-log.docx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Claim/check/result record and project-hour choices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FOREMAN-M07-damage-screen.docx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Confident all-clear across fixed and moving components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WES-M07-accepted-screen-memo.docx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Liability-color seed inside M13's existing messy handoff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M07-inspection-inventory-and-output.csv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Twelve image records and FOREMAN outputs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KEY-M07-answer-key.docx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Instructor-only applicability conclusion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../00-INSTRUCTOR/source-notes/M07-story-SAY.md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Cloud-approved canon SAY source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M07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M07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2027-02-23T12:00:00Z</dcterms:created>
  <dcterms:modified xsi:type="dcterms:W3CDTF">2027-02-23T12:00:00Z</dcterms:modified>
  <cp:category/>
</cp:coreProperties>
</file>