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10" w:type="dxa"/>
          <w:left w:w="0" w:type="dxa"/>
          <w:bottom w:w="10" w:type="dxa"/>
          <w:right w:w="60" w:type="dxa"/>
        </w:tblCellMar>
      </w:tblPr>
      <w:tblGrid>
        <w:gridCol w:w="4968"/>
        <w:gridCol w:w="4968"/>
      </w:tblGrid>
      <w:tr>
        <w:tc>
          <w:tcPr>
            <w:tcW w:type="dxa" w:w="893"/>
          </w:tcPr>
          <w:p>
            <w:pPr>
              <w:spacing w:after="0"/>
            </w:pPr>
            <w:r>
              <w:rPr>
                <w:rFonts w:ascii="Barlow Condensed" w:hAnsi="Barlow Condensed" w:cs="Barlow Condensed"/>
                <w:b/>
                <w:i w:val="0"/>
                <w:color w:val="6B7280"/>
                <w:sz w:val="17"/>
                <w:caps w:val="1"/>
                <w:spacing w:val="16"/>
              </w:rPr>
              <w:t>TO</w:t>
            </w:r>
          </w:p>
        </w:tc>
        <w:tc>
          <w:tcPr>
            <w:tcW w:type="dxa" w:w="9043"/>
          </w:tcPr>
          <w:p>
            <w:pPr>
              <w:spacing w:after="0"/>
            </w:pPr>
            <w:r>
              <w:rPr>
                <w:rFonts w:ascii="Barlow" w:hAnsi="Barlow" w:cs="Barlow"/>
                <w:b w:val="0"/>
                <w:i w:val="0"/>
                <w:sz w:val="20"/>
              </w:rPr>
              <w:t>Diane Halvorsen, PE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>
              <w:rPr>
                <w:rFonts w:ascii="Barlow Condensed" w:hAnsi="Barlow Condensed" w:cs="Barlow Condensed"/>
                <w:b/>
                <w:i w:val="0"/>
                <w:color w:val="6B7280"/>
                <w:sz w:val="17"/>
                <w:caps w:val="1"/>
                <w:spacing w:val="16"/>
              </w:rPr>
              <w:t>FROM</w:t>
            </w:r>
          </w:p>
        </w:tc>
        <w:tc>
          <w:tcPr>
            <w:tcW w:type="dxa" w:w="9043"/>
          </w:tcPr>
          <w:p>
            <w:pPr>
              <w:spacing w:after="0"/>
            </w:pPr>
            <w:r>
              <w:rPr>
                <w:rFonts w:ascii="Barlow" w:hAnsi="Barlow" w:cs="Barlow"/>
                <w:b w:val="0"/>
                <w:i w:val="0"/>
                <w:sz w:val="20"/>
              </w:rPr>
              <w:t>Wes Tanaka, EIT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>
              <w:rPr>
                <w:rFonts w:ascii="Barlow Condensed" w:hAnsi="Barlow Condensed" w:cs="Barlow Condensed"/>
                <w:b/>
                <w:i w:val="0"/>
                <w:color w:val="6B7280"/>
                <w:sz w:val="17"/>
                <w:caps w:val="1"/>
                <w:spacing w:val="16"/>
              </w:rPr>
              <w:t>DATE</w:t>
            </w:r>
          </w:p>
        </w:tc>
        <w:tc>
          <w:tcPr>
            <w:tcW w:type="dxa" w:w="9043"/>
          </w:tcPr>
          <w:p>
            <w:pPr>
              <w:spacing w:after="0"/>
            </w:pPr>
            <w:r>
              <w:rPr>
                <w:rFonts w:ascii="Barlow" w:hAnsi="Barlow" w:cs="Barlow"/>
                <w:b w:val="0"/>
                <w:i w:val="0"/>
                <w:sz w:val="20"/>
              </w:rPr>
              <w:t>Tuesday, February 23, 2027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>
              <w:rPr>
                <w:rFonts w:ascii="Barlow Condensed" w:hAnsi="Barlow Condensed" w:cs="Barlow Condensed"/>
                <w:b/>
                <w:i w:val="0"/>
                <w:color w:val="6B7280"/>
                <w:sz w:val="17"/>
                <w:caps w:val="1"/>
                <w:spacing w:val="16"/>
              </w:rPr>
              <w:t>RE</w:t>
            </w:r>
          </w:p>
        </w:tc>
        <w:tc>
          <w:tcPr>
            <w:tcW w:type="dxa" w:w="9043"/>
          </w:tcPr>
          <w:p>
            <w:pPr>
              <w:spacing w:after="0"/>
            </w:pPr>
            <w:r>
              <w:rPr>
                <w:rFonts w:ascii="Barlow" w:hAnsi="Barlow" w:cs="Barlow"/>
                <w:b/>
                <w:i w:val="0"/>
                <w:sz w:val="20"/>
              </w:rPr>
              <w:t>Otter Bend automated image screen</w:t>
            </w:r>
          </w:p>
        </w:tc>
      </w:tr>
    </w:tbl>
    <w:p>
      <w:pPr>
        <w:spacing w:before="20" w:after="180" w:line="240" w:lineRule="auto"/>
        <w:pBdr>
          <w:bottom w:val="single" w:sz="6" w:space="4" w:color="C9CFD6"/>
        </w:pBdr>
      </w:pPr>
    </w:p>
    <w:p>
      <w:pPr>
        <w:spacing w:before="0" w:after="160" w:line="276" w:lineRule="auto"/>
      </w:pPr>
      <w:r>
        <w:rPr>
          <w:rFonts w:ascii="Barlow" w:hAnsi="Barlow" w:cs="Barlow"/>
          <w:b w:val="0"/>
          <w:i w:val="0"/>
          <w:sz w:val="20"/>
        </w:rPr>
        <w:t>FOREMAN reviewed the 12 available inspection images and found no significant defects with 93–97% confidence. The run completed without errors, and the reported confidence is consistent across the fixed spans, towers, and lift machinery.</w:t>
      </w:r>
    </w:p>
    <w:p>
      <w:pPr>
        <w:spacing w:before="0" w:after="120" w:line="276" w:lineRule="auto"/>
      </w:pPr>
      <w:r>
        <w:rPr>
          <w:rFonts w:ascii="Barlow" w:hAnsi="Barlow" w:cs="Barlow"/>
          <w:b w:val="0"/>
          <w:i w:val="0"/>
          <w:sz w:val="20"/>
        </w:rPr>
        <w:t>I recommend accepting the screen for the interim report and not delaying the schedule for another image review. I attached the final FOREMAN output and image register.</w:t>
      </w:r>
    </w:p>
    <w:p>
      <w:pPr>
        <w:spacing w:before="120" w:after="160" w:line="276" w:lineRule="auto"/>
        <w:pBdr>
          <w:top w:val="single" w:sz="8" w:space="6" w:color="1F3A5F"/>
          <w:left w:val="single" w:sz="8" w:space="6" w:color="1F3A5F"/>
          <w:bottom w:val="single" w:sz="8" w:space="6" w:color="1F3A5F"/>
          <w:right w:val="single" w:sz="8" w:space="6" w:color="1F3A5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DIANE — 08:02  </w:t>
      </w:r>
      <w:r>
        <w:rPr>
          <w:rFonts w:ascii="Barlow" w:hAnsi="Barlow" w:cs="Barlow"/>
          <w:b w:val="0"/>
          <w:i w:val="0"/>
          <w:sz w:val="19"/>
        </w:rPr>
        <w:t>Looks complete. We are already behind. Use it unless there is a specific reason not to.</w:t>
      </w:r>
    </w:p>
    <w:p>
      <w:pPr>
        <w:spacing w:before="0" w:after="120" w:line="276" w:lineRule="auto"/>
      </w:pPr>
      <w:r>
        <w:rPr>
          <w:rFonts w:ascii="Barlow" w:hAnsi="Barlow" w:cs="Barlow"/>
          <w:b w:val="0"/>
          <w:i/>
          <w:color w:val="6B7280"/>
          <w:sz w:val="16"/>
        </w:rPr>
        <w:t>This memo is evidence in the M07 audit. Polished wording and managerial approval do not establish model coverage.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Otter Bend Lift Bridge  ·  Kinnick County Project 27-114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>
      <w:drawing>
        <wp:inline xmlns:a="http://schemas.openxmlformats.org/drawingml/2006/main" xmlns:pic="http://schemas.openxmlformats.org/drawingml/2006/picture">
          <wp:extent cx="1182515" cy="31089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cmejob-logo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2515" cy="310896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Internal Project Memo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2027-02-23T12:00:00Z</dcterms:created>
  <dcterms:modified xsi:type="dcterms:W3CDTF">2027-02-23T12:00:00Z</dcterms:modified>
  <cp:category/>
</cp:coreProperties>
</file>