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line="240" w:lineRule="auto"/>
      </w:pPr>
      <w:r>
        <w:rPr>
          <w:rFonts w:ascii="Barlow Condensed" w:hAnsi="Barlow Condensed" w:cs="Barlow Condensed"/>
          <w:b/>
          <w:i w:val="0"/>
          <w:color w:val="1F3A5F"/>
          <w:sz w:val="42"/>
        </w:rPr>
        <w:t>Answer Key and Teaching Notes</w:t>
      </w:r>
    </w:p>
    <w:p>
      <w:pPr>
        <w:spacing w:before="120" w:after="160" w:line="276" w:lineRule="auto"/>
        <w:pBdr>
          <w:top w:val="single" w:sz="8" w:space="6" w:color="F26B1D"/>
          <w:left w:val="single" w:sz="8" w:space="6" w:color="F26B1D"/>
          <w:bottom w:val="single" w:sz="8" w:space="6" w:color="F26B1D"/>
          <w:right w:val="single" w:sz="8" w:space="6" w:color="F26B1D"/>
        </w:pBdr>
        <w:shd w:val="clear" w:fill="FFF1E8"/>
      </w:pPr>
      <w:r>
        <w:rPr>
          <w:rFonts w:ascii="Barlow Condensed" w:hAnsi="Barlow Condensed" w:cs="Barlow Condensed"/>
          <w:b/>
          <w:i w:val="0"/>
          <w:color w:val="2B2F36"/>
          <w:sz w:val="19"/>
          <w:caps w:val="1"/>
          <w:spacing w:val="10"/>
        </w:rPr>
        <w:t xml:space="preserve">The reveal  </w:t>
      </w:r>
      <w:r>
        <w:rPr>
          <w:rFonts w:ascii="Barlow" w:hAnsi="Barlow" w:cs="Barlow"/>
          <w:b w:val="0"/>
          <w:i w:val="0"/>
          <w:sz w:val="19"/>
        </w:rPr>
        <w:t>FOREMAN's mean is correct. Its conclusion is not supported by the mean alone. Wait for students to identify the summary that makes the low results disappear before showing the table below.</w:t>
      </w:r>
    </w:p>
    <w:p>
      <w:pPr>
        <w:spacing w:before="260" w:after="80" w:line="240" w:lineRule="auto"/>
      </w:pPr>
      <w:r>
        <w:rPr>
          <w:rFonts w:ascii="Barlow Condensed" w:hAnsi="Barlow Condensed" w:cs="Barlow Condensed"/>
          <w:b/>
          <w:i w:val="0"/>
          <w:color w:val="1F3A5F"/>
          <w:sz w:val="25"/>
          <w:caps w:val="1"/>
          <w:spacing w:val="12"/>
        </w:rPr>
        <w:t>Descriptive statistics</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4968"/>
        <w:gridCol w:w="4968"/>
      </w:tblGrid>
      <w:tr>
        <w:tc>
          <w:tcPr>
            <w:tcW w:type="dxa" w:w="5184"/>
            <w:shd w:val="clear" w:color="auto" w:fill="1F3A5F"/>
          </w:tcPr>
          <w:p>
            <w:pPr>
              <w:spacing w:before="20" w:after="20" w:line="252" w:lineRule="auto"/>
            </w:pPr>
            <w:r>
              <w:rPr>
                <w:rFonts w:ascii="Barlow Condensed" w:hAnsi="Barlow Condensed" w:cs="Barlow Condensed"/>
                <w:b/>
                <w:i w:val="0"/>
                <w:color w:val="FFFFFF"/>
                <w:sz w:val="18"/>
              </w:rPr>
              <w:t>Statistic</w:t>
            </w:r>
          </w:p>
        </w:tc>
        <w:tc>
          <w:tcPr>
            <w:tcW w:type="dxa" w:w="4752"/>
            <w:shd w:val="clear" w:color="auto" w:fill="1F3A5F"/>
          </w:tcPr>
          <w:p>
            <w:pPr>
              <w:spacing w:before="20" w:after="20" w:line="252" w:lineRule="auto"/>
              <w:jc w:val="right"/>
            </w:pPr>
            <w:r>
              <w:rPr>
                <w:rFonts w:ascii="Barlow Condensed" w:hAnsi="Barlow Condensed" w:cs="Barlow Condensed"/>
                <w:b/>
                <w:i w:val="0"/>
                <w:color w:val="FFFFFF"/>
                <w:sz w:val="18"/>
              </w:rPr>
              <w:t>Instructor value</w:t>
            </w:r>
          </w:p>
        </w:tc>
      </w:tr>
      <w:tr>
        <w:tc>
          <w:tcPr>
            <w:tcW w:type="dxa" w:w="5184"/>
          </w:tcPr>
          <w:p>
            <w:pPr>
              <w:spacing w:before="20" w:after="20" w:line="252" w:lineRule="auto"/>
            </w:pPr>
            <w:r>
              <w:rPr>
                <w:rFonts w:ascii="Barlow" w:hAnsi="Barlow" w:cs="Barlow"/>
                <w:b w:val="0"/>
                <w:i w:val="0"/>
                <w:sz w:val="18"/>
              </w:rPr>
              <w:t>n</w:t>
            </w:r>
          </w:p>
        </w:tc>
        <w:tc>
          <w:tcPr>
            <w:tcW w:type="dxa" w:w="4752"/>
          </w:tcPr>
          <w:p>
            <w:pPr>
              <w:spacing w:before="20" w:after="20" w:line="252" w:lineRule="auto"/>
              <w:jc w:val="right"/>
            </w:pPr>
            <w:r>
              <w:rPr>
                <w:rFonts w:ascii="Barlow" w:hAnsi="Barlow" w:cs="Barlow"/>
                <w:b w:val="0"/>
                <w:i w:val="0"/>
                <w:sz w:val="18"/>
              </w:rPr>
              <w:t>24</w:t>
            </w:r>
          </w:p>
        </w:tc>
      </w:tr>
      <w:tr>
        <w:tc>
          <w:tcPr>
            <w:tcW w:type="dxa" w:w="5184"/>
            <w:shd w:val="clear" w:color="auto" w:fill="F4F6F8"/>
          </w:tcPr>
          <w:p>
            <w:pPr>
              <w:spacing w:before="20" w:after="20" w:line="252" w:lineRule="auto"/>
            </w:pPr>
            <w:r>
              <w:rPr>
                <w:rFonts w:ascii="Barlow" w:hAnsi="Barlow" w:cs="Barlow"/>
                <w:b w:val="0"/>
                <w:i w:val="0"/>
                <w:sz w:val="18"/>
              </w:rPr>
              <w:t>Mean</w:t>
            </w:r>
          </w:p>
        </w:tc>
        <w:tc>
          <w:tcPr>
            <w:tcW w:type="dxa" w:w="4752"/>
            <w:shd w:val="clear" w:color="auto" w:fill="F4F6F8"/>
          </w:tcPr>
          <w:p>
            <w:pPr>
              <w:spacing w:before="20" w:after="20" w:line="252" w:lineRule="auto"/>
              <w:jc w:val="right"/>
            </w:pPr>
            <w:r>
              <w:rPr>
                <w:rFonts w:ascii="Barlow" w:hAnsi="Barlow" w:cs="Barlow"/>
                <w:b w:val="0"/>
                <w:i w:val="0"/>
                <w:sz w:val="18"/>
              </w:rPr>
              <w:t>5,003.75 psi</w:t>
            </w:r>
          </w:p>
        </w:tc>
      </w:tr>
      <w:tr>
        <w:tc>
          <w:tcPr>
            <w:tcW w:type="dxa" w:w="5184"/>
          </w:tcPr>
          <w:p>
            <w:pPr>
              <w:spacing w:before="20" w:after="20" w:line="252" w:lineRule="auto"/>
            </w:pPr>
            <w:r>
              <w:rPr>
                <w:rFonts w:ascii="Barlow" w:hAnsi="Barlow" w:cs="Barlow"/>
                <w:b w:val="0"/>
                <w:i w:val="0"/>
                <w:sz w:val="18"/>
              </w:rPr>
              <w:t>Sample variance</w:t>
            </w:r>
          </w:p>
        </w:tc>
        <w:tc>
          <w:tcPr>
            <w:tcW w:type="dxa" w:w="4752"/>
          </w:tcPr>
          <w:p>
            <w:pPr>
              <w:spacing w:before="20" w:after="20" w:line="252" w:lineRule="auto"/>
              <w:jc w:val="right"/>
            </w:pPr>
            <w:r>
              <w:rPr>
                <w:rFonts w:ascii="Barlow" w:hAnsi="Barlow" w:cs="Barlow"/>
                <w:b w:val="0"/>
                <w:i w:val="0"/>
                <w:sz w:val="18"/>
              </w:rPr>
              <w:t>307,659.24 psi²</w:t>
            </w:r>
          </w:p>
        </w:tc>
      </w:tr>
      <w:tr>
        <w:tc>
          <w:tcPr>
            <w:tcW w:type="dxa" w:w="5184"/>
            <w:shd w:val="clear" w:color="auto" w:fill="F4F6F8"/>
          </w:tcPr>
          <w:p>
            <w:pPr>
              <w:spacing w:before="20" w:after="20" w:line="252" w:lineRule="auto"/>
            </w:pPr>
            <w:r>
              <w:rPr>
                <w:rFonts w:ascii="Barlow" w:hAnsi="Barlow" w:cs="Barlow"/>
                <w:b w:val="0"/>
                <w:i w:val="0"/>
                <w:sz w:val="18"/>
              </w:rPr>
              <w:t>Sample standard deviation</w:t>
            </w:r>
          </w:p>
        </w:tc>
        <w:tc>
          <w:tcPr>
            <w:tcW w:type="dxa" w:w="4752"/>
            <w:shd w:val="clear" w:color="auto" w:fill="F4F6F8"/>
          </w:tcPr>
          <w:p>
            <w:pPr>
              <w:spacing w:before="20" w:after="20" w:line="252" w:lineRule="auto"/>
              <w:jc w:val="right"/>
            </w:pPr>
            <w:r>
              <w:rPr>
                <w:rFonts w:ascii="Barlow" w:hAnsi="Barlow" w:cs="Barlow"/>
                <w:b w:val="0"/>
                <w:i w:val="0"/>
                <w:sz w:val="18"/>
              </w:rPr>
              <w:t>554.67 psi</w:t>
            </w:r>
          </w:p>
        </w:tc>
      </w:tr>
      <w:tr>
        <w:tc>
          <w:tcPr>
            <w:tcW w:type="dxa" w:w="5184"/>
          </w:tcPr>
          <w:p>
            <w:pPr>
              <w:spacing w:before="20" w:after="20" w:line="252" w:lineRule="auto"/>
            </w:pPr>
            <w:r>
              <w:rPr>
                <w:rFonts w:ascii="Barlow" w:hAnsi="Barlow" w:cs="Barlow"/>
                <w:b w:val="0"/>
                <w:i w:val="0"/>
                <w:sz w:val="18"/>
              </w:rPr>
              <w:t>Sample CV</w:t>
            </w:r>
          </w:p>
        </w:tc>
        <w:tc>
          <w:tcPr>
            <w:tcW w:type="dxa" w:w="4752"/>
          </w:tcPr>
          <w:p>
            <w:pPr>
              <w:spacing w:before="20" w:after="20" w:line="252" w:lineRule="auto"/>
              <w:jc w:val="right"/>
            </w:pPr>
            <w:r>
              <w:rPr>
                <w:rFonts w:ascii="Barlow" w:hAnsi="Barlow" w:cs="Barlow"/>
                <w:b w:val="0"/>
                <w:i w:val="0"/>
                <w:sz w:val="18"/>
              </w:rPr>
              <w:t>11.09%</w:t>
            </w:r>
          </w:p>
        </w:tc>
      </w:tr>
      <w:tr>
        <w:tc>
          <w:tcPr>
            <w:tcW w:type="dxa" w:w="5184"/>
            <w:shd w:val="clear" w:color="auto" w:fill="F4F6F8"/>
          </w:tcPr>
          <w:p>
            <w:pPr>
              <w:spacing w:before="20" w:after="20" w:line="252" w:lineRule="auto"/>
            </w:pPr>
            <w:r>
              <w:rPr>
                <w:rFonts w:ascii="Barlow" w:hAnsi="Barlow" w:cs="Barlow"/>
                <w:b w:val="0"/>
                <w:i w:val="0"/>
                <w:sz w:val="18"/>
              </w:rPr>
              <w:t>Population SD (contrast only)</w:t>
            </w:r>
          </w:p>
        </w:tc>
        <w:tc>
          <w:tcPr>
            <w:tcW w:type="dxa" w:w="4752"/>
            <w:shd w:val="clear" w:color="auto" w:fill="F4F6F8"/>
          </w:tcPr>
          <w:p>
            <w:pPr>
              <w:spacing w:before="20" w:after="20" w:line="252" w:lineRule="auto"/>
              <w:jc w:val="right"/>
            </w:pPr>
            <w:r>
              <w:rPr>
                <w:rFonts w:ascii="Barlow" w:hAnsi="Barlow" w:cs="Barlow"/>
                <w:b w:val="0"/>
                <w:i w:val="0"/>
                <w:sz w:val="18"/>
              </w:rPr>
              <w:t>542.99 psi</w:t>
            </w:r>
          </w:p>
        </w:tc>
      </w:tr>
      <w:tr>
        <w:tc>
          <w:tcPr>
            <w:tcW w:type="dxa" w:w="5184"/>
          </w:tcPr>
          <w:p>
            <w:pPr>
              <w:spacing w:before="20" w:after="20" w:line="252" w:lineRule="auto"/>
            </w:pPr>
            <w:r>
              <w:rPr>
                <w:rFonts w:ascii="Barlow" w:hAnsi="Barlow" w:cs="Barlow"/>
                <w:b w:val="0"/>
                <w:i w:val="0"/>
                <w:sz w:val="18"/>
              </w:rPr>
              <w:t>Population CV (contrast only)</w:t>
            </w:r>
          </w:p>
        </w:tc>
        <w:tc>
          <w:tcPr>
            <w:tcW w:type="dxa" w:w="4752"/>
          </w:tcPr>
          <w:p>
            <w:pPr>
              <w:spacing w:before="20" w:after="20" w:line="252" w:lineRule="auto"/>
              <w:jc w:val="right"/>
            </w:pPr>
            <w:r>
              <w:rPr>
                <w:rFonts w:ascii="Barlow" w:hAnsi="Barlow" w:cs="Barlow"/>
                <w:b w:val="0"/>
                <w:i w:val="0"/>
                <w:sz w:val="18"/>
              </w:rPr>
              <w:t>10.85%</w:t>
            </w:r>
          </w:p>
        </w:tc>
      </w:tr>
      <w:tr>
        <w:tc>
          <w:tcPr>
            <w:tcW w:type="dxa" w:w="5184"/>
            <w:shd w:val="clear" w:color="auto" w:fill="F4F6F8"/>
          </w:tcPr>
          <w:p>
            <w:pPr>
              <w:spacing w:before="20" w:after="20" w:line="252" w:lineRule="auto"/>
            </w:pPr>
            <w:r>
              <w:rPr>
                <w:rFonts w:ascii="Barlow" w:hAnsi="Barlow" w:cs="Barlow"/>
                <w:b w:val="0"/>
                <w:i w:val="0"/>
                <w:sz w:val="18"/>
              </w:rPr>
              <w:t>Range</w:t>
            </w:r>
          </w:p>
        </w:tc>
        <w:tc>
          <w:tcPr>
            <w:tcW w:type="dxa" w:w="4752"/>
            <w:shd w:val="clear" w:color="auto" w:fill="F4F6F8"/>
          </w:tcPr>
          <w:p>
            <w:pPr>
              <w:spacing w:before="20" w:after="20" w:line="252" w:lineRule="auto"/>
              <w:jc w:val="right"/>
            </w:pPr>
            <w:r>
              <w:rPr>
                <w:rFonts w:ascii="Barlow" w:hAnsi="Barlow" w:cs="Barlow"/>
                <w:b w:val="0"/>
                <w:i w:val="0"/>
                <w:sz w:val="18"/>
              </w:rPr>
              <w:t>3,820–5,960 psi (2,140 psi wide)</w:t>
            </w:r>
          </w:p>
        </w:tc>
      </w:tr>
      <w:tr>
        <w:tc>
          <w:tcPr>
            <w:tcW w:type="dxa" w:w="5184"/>
          </w:tcPr>
          <w:p>
            <w:pPr>
              <w:spacing w:before="20" w:after="20" w:line="252" w:lineRule="auto"/>
            </w:pPr>
            <w:r>
              <w:rPr>
                <w:rFonts w:ascii="Barlow" w:hAnsi="Barlow" w:cs="Barlow"/>
                <w:b w:val="0"/>
                <w:i w:val="0"/>
                <w:sz w:val="18"/>
              </w:rPr>
              <w:t>Below 4,500 psi</w:t>
            </w:r>
          </w:p>
        </w:tc>
        <w:tc>
          <w:tcPr>
            <w:tcW w:type="dxa" w:w="4752"/>
          </w:tcPr>
          <w:p>
            <w:pPr>
              <w:spacing w:before="20" w:after="20" w:line="252" w:lineRule="auto"/>
              <w:jc w:val="right"/>
            </w:pPr>
            <w:r>
              <w:rPr>
                <w:rFonts w:ascii="Barlow" w:hAnsi="Barlow" w:cs="Barlow"/>
                <w:b w:val="0"/>
                <w:i w:val="0"/>
                <w:sz w:val="18"/>
              </w:rPr>
              <w:t>5 of 24</w:t>
            </w:r>
          </w:p>
        </w:tc>
      </w:tr>
    </w:tbl>
    <w:p>
      <w:pPr>
        <w:spacing w:before="260" w:after="80" w:line="240" w:lineRule="auto"/>
      </w:pPr>
      <w:r>
        <w:rPr>
          <w:rFonts w:ascii="Barlow Condensed" w:hAnsi="Barlow Condensed" w:cs="Barlow Condensed"/>
          <w:b/>
          <w:i w:val="0"/>
          <w:color w:val="1F3A5F"/>
          <w:sz w:val="25"/>
          <w:caps w:val="1"/>
          <w:spacing w:val="12"/>
        </w:rPr>
        <w:t>The five low results</w:t>
      </w:r>
    </w:p>
    <w:p>
      <w:pPr>
        <w:spacing w:before="0" w:after="120" w:line="276" w:lineRule="auto"/>
      </w:pPr>
      <w:r>
        <w:rPr>
          <w:rFonts w:ascii="IBM Plex Mono" w:hAnsi="IBM Plex Mono" w:cs="IBM Plex Mono"/>
          <w:b w:val="0"/>
          <w:i w:val="0"/>
          <w:sz w:val="19"/>
        </w:rPr>
        <w:t>C-01 3,820 psi; C-02 4,050 psi; C-03 4,200 psi; C-04 4,380 psi; C-05 4,470 psi.</w:t>
      </w:r>
    </w:p>
    <w:p>
      <w:pPr>
        <w:pStyle w:val="ListBullet"/>
        <w:spacing w:after="60" w:line="269" w:lineRule="auto"/>
        <w:ind w:left="346"/>
      </w:pPr>
      <w:r>
        <w:rPr>
          <w:rFonts w:ascii="Barlow" w:hAnsi="Barlow" w:cs="Barlow"/>
          <w:b/>
          <w:i w:val="0"/>
          <w:sz w:val="20"/>
        </w:rPr>
        <w:t xml:space="preserve">Mean story: </w:t>
      </w:r>
      <w:r>
        <w:rPr>
          <w:rFonts w:ascii="Barlow" w:hAnsi="Barlow" w:cs="Barlow"/>
          <w:b w:val="0"/>
          <w:i w:val="0"/>
          <w:sz w:val="20"/>
        </w:rPr>
        <w:t>5,003.75 psi is 503.75 psi above the project comparison. That arithmetic is correct.</w:t>
      </w:r>
    </w:p>
    <w:p>
      <w:pPr>
        <w:pStyle w:val="ListBullet"/>
        <w:spacing w:after="60" w:line="269" w:lineRule="auto"/>
        <w:ind w:left="346"/>
      </w:pPr>
      <w:r>
        <w:rPr>
          <w:rFonts w:ascii="Barlow" w:hAnsi="Barlow" w:cs="Barlow"/>
          <w:b/>
          <w:i w:val="0"/>
          <w:sz w:val="20"/>
        </w:rPr>
        <w:t xml:space="preserve">Spread story: </w:t>
      </w:r>
      <w:r>
        <w:rPr>
          <w:rFonts w:ascii="Barlow" w:hAnsi="Barlow" w:cs="Barlow"/>
          <w:b w:val="0"/>
          <w:i w:val="0"/>
          <w:sz w:val="20"/>
        </w:rPr>
        <w:t>sample SD is 554.67 psi and CV is 11.09%; five of 24 values sit below 4,500 psi. Center does not erase tails.</w:t>
      </w:r>
    </w:p>
    <w:p>
      <w:pPr>
        <w:pStyle w:val="ListBullet"/>
        <w:spacing w:after="60" w:line="269" w:lineRule="auto"/>
        <w:ind w:left="346"/>
      </w:pPr>
      <w:r>
        <w:rPr>
          <w:rFonts w:ascii="Barlow" w:hAnsi="Barlow" w:cs="Barlow"/>
          <w:b/>
          <w:i w:val="0"/>
          <w:sz w:val="20"/>
        </w:rPr>
        <w:t xml:space="preserve">Scope story: </w:t>
      </w:r>
      <w:r>
        <w:rPr>
          <w:rFonts w:ascii="Barlow" w:hAnsi="Barlow" w:cs="Barlow"/>
          <w:b w:val="0"/>
          <w:i w:val="0"/>
          <w:sz w:val="20"/>
        </w:rPr>
        <w:t>all 24 cores came from accessible shoulder locations. They describe those tested cores; they are not the full deck population or a representative sample of every deck region.</w:t>
      </w:r>
    </w:p>
    <w:p>
      <w:pPr>
        <w:pStyle w:val="ListBullet"/>
        <w:spacing w:after="60" w:line="269" w:lineRule="auto"/>
        <w:ind w:left="346"/>
      </w:pPr>
      <w:r>
        <w:rPr>
          <w:rFonts w:ascii="Barlow" w:hAnsi="Barlow" w:cs="Barlow"/>
          <w:b/>
          <w:i w:val="0"/>
          <w:sz w:val="20"/>
        </w:rPr>
        <w:t xml:space="preserve">Engineering boundary: </w:t>
      </w:r>
      <w:r>
        <w:rPr>
          <w:rFonts w:ascii="Barlow" w:hAnsi="Barlow" w:cs="Barlow"/>
          <w:b w:val="0"/>
          <w:i w:val="0"/>
          <w:sz w:val="20"/>
        </w:rPr>
        <w:t>do not teach that any individual value below 4,500 psi proves failure, or that the mean proves adequacy. The exercise teaches descriptive statistics, not a complete concrete acceptance standard.</w:t>
      </w:r>
    </w:p>
    <w:p>
      <w:pPr>
        <w:spacing w:before="260" w:after="80" w:line="240" w:lineRule="auto"/>
      </w:pPr>
      <w:r>
        <w:rPr>
          <w:rFonts w:ascii="Barlow Condensed" w:hAnsi="Barlow Condensed" w:cs="Barlow Condensed"/>
          <w:b/>
          <w:i w:val="0"/>
          <w:color w:val="1F3A5F"/>
          <w:sz w:val="25"/>
          <w:caps w:val="1"/>
          <w:spacing w:val="12"/>
        </w:rPr>
        <w:t>A strong three-sentence response</w:t>
      </w:r>
    </w:p>
    <w:p>
      <w:pPr>
        <w:spacing w:before="120" w:after="160" w:line="276" w:lineRule="auto"/>
        <w:pBdr>
          <w:top w:val="single" w:sz="8" w:space="6" w:color="6F8FAF"/>
          <w:left w:val="single" w:sz="8" w:space="6" w:color="6F8FAF"/>
          <w:bottom w:val="single" w:sz="8" w:space="6" w:color="6F8FAF"/>
          <w:right w:val="single" w:sz="8" w:space="6" w:color="6F8FAF"/>
        </w:pBdr>
        <w:shd w:val="clear" w:fill="EEF3F8"/>
      </w:pPr>
      <w:r>
        <w:rPr>
          <w:rFonts w:ascii="Barlow Condensed" w:hAnsi="Barlow Condensed" w:cs="Barlow Condensed"/>
          <w:b/>
          <w:i w:val="0"/>
          <w:color w:val="2B2F36"/>
          <w:sz w:val="19"/>
          <w:caps w:val="1"/>
          <w:spacing w:val="10"/>
        </w:rPr>
        <w:t xml:space="preserve">Model — do not project before the hunt  </w:t>
      </w:r>
      <w:r>
        <w:rPr>
          <w:rFonts w:ascii="Barlow" w:hAnsi="Barlow" w:cs="Barlow"/>
          <w:b w:val="0"/>
          <w:i w:val="0"/>
          <w:sz w:val="19"/>
        </w:rPr>
        <w:t>The 24 tested cores average 5,004 psi. Their sample standard deviation is 555 psi (CV 11.1%), and 5 of 24 results fall below the 4,500 psi project comparison, so the mean alone hides consequential spread. Because every core was drilled from an accessible shoulder location, these results describe the sampled locations but do not establish the condition of the entire deck.</w:t>
      </w:r>
    </w:p>
    <w:p>
      <w:pPr>
        <w:spacing w:before="260" w:after="80" w:line="240" w:lineRule="auto"/>
      </w:pPr>
      <w:r>
        <w:rPr>
          <w:rFonts w:ascii="Barlow Condensed" w:hAnsi="Barlow Condensed" w:cs="Barlow Condensed"/>
          <w:b/>
          <w:i w:val="0"/>
          <w:color w:val="1F3A5F"/>
          <w:sz w:val="25"/>
          <w:caps w:val="1"/>
          <w:spacing w:val="12"/>
        </w:rPr>
        <w:t>Sample versus population</w:t>
      </w:r>
    </w:p>
    <w:p>
      <w:pPr>
        <w:spacing w:before="0" w:after="160" w:line="276" w:lineRule="auto"/>
      </w:pPr>
      <w:r>
        <w:rPr>
          <w:rFonts w:ascii="Barlow" w:hAnsi="Barlow" w:cs="Barlow"/>
          <w:b w:val="0"/>
          <w:i w:val="0"/>
          <w:sz w:val="20"/>
        </w:rPr>
        <w:t>Use STDEV.S and VAR.S because the 24 cores are a sample from a larger physical deck. STDEV.P is useful only as a contrast: it treats the file as the entire population of interest and produces the smaller value shown above. The formula choice encodes the claim being made.</w:t>
      </w:r>
    </w:p>
    <w:p>
      <w:pPr>
        <w:spacing w:before="260" w:after="80" w:line="240" w:lineRule="auto"/>
      </w:pPr>
      <w:r>
        <w:rPr>
          <w:rFonts w:ascii="Barlow Condensed" w:hAnsi="Barlow Condensed" w:cs="Barlow Condensed"/>
          <w:b/>
          <w:i w:val="0"/>
          <w:color w:val="1F3A5F"/>
          <w:sz w:val="25"/>
          <w:caps w:val="1"/>
          <w:spacing w:val="12"/>
        </w:rPr>
        <w:t>Timing, 75 minutes</w:t>
      </w:r>
    </w:p>
    <w:tbl>
      <w:tblPr>
        <w:tblStyle w:val="TableGrid"/>
        <w:tblW w:type="auto" w:w="0"/>
        <w:jc w:val="left"/>
        <w:tblLook w:firstColumn="1" w:firstRow="1" w:lastColumn="0" w:lastRow="0" w:noHBand="0" w:noVBand="1" w:val="04A0"/>
        <w:tblLayout w:type="fixed"/>
        <w:tblCellMar>
          <w:top w:w="60" w:type="dxa"/>
          <w:left w:w="110" w:type="dxa"/>
          <w:bottom w:w="60" w:type="dxa"/>
          <w:right w:w="110" w:type="dxa"/>
        </w:tblCellMar>
      </w:tblPr>
      <w:tblGrid>
        <w:gridCol w:w="4968"/>
        <w:gridCol w:w="4968"/>
      </w:tblGrid>
      <w:tr>
        <w:tc>
          <w:tcPr>
            <w:tcW w:type="dxa" w:w="1224"/>
            <w:shd w:val="clear" w:color="auto" w:fill="1F3A5F"/>
          </w:tcPr>
          <w:p>
            <w:pPr>
              <w:spacing w:before="20" w:after="20" w:line="252" w:lineRule="auto"/>
            </w:pPr>
            <w:r>
              <w:rPr>
                <w:rFonts w:ascii="Barlow Condensed" w:hAnsi="Barlow Condensed" w:cs="Barlow Condensed"/>
                <w:b/>
                <w:i w:val="0"/>
                <w:color w:val="FFFFFF"/>
                <w:sz w:val="18"/>
              </w:rPr>
              <w:t>Min</w:t>
            </w:r>
          </w:p>
        </w:tc>
        <w:tc>
          <w:tcPr>
            <w:tcW w:type="dxa" w:w="8712"/>
            <w:shd w:val="clear" w:color="auto" w:fill="1F3A5F"/>
          </w:tcPr>
          <w:p>
            <w:pPr>
              <w:spacing w:before="20" w:after="20" w:line="252" w:lineRule="auto"/>
            </w:pPr>
            <w:r>
              <w:rPr>
                <w:rFonts w:ascii="Barlow Condensed" w:hAnsi="Barlow Condensed" w:cs="Barlow Condensed"/>
                <w:b/>
                <w:i w:val="0"/>
                <w:color w:val="FFFFFF"/>
                <w:sz w:val="18"/>
              </w:rPr>
              <w:t>What happens</w:t>
            </w:r>
          </w:p>
        </w:tc>
      </w:tr>
      <w:tr>
        <w:tc>
          <w:tcPr>
            <w:tcW w:type="dxa" w:w="1224"/>
          </w:tcPr>
          <w:p>
            <w:pPr>
              <w:spacing w:before="20" w:after="20" w:line="252" w:lineRule="auto"/>
            </w:pPr>
            <w:r>
              <w:rPr>
                <w:rFonts w:ascii="Barlow" w:hAnsi="Barlow" w:cs="Barlow"/>
                <w:b w:val="0"/>
                <w:i w:val="0"/>
                <w:sz w:val="18"/>
              </w:rPr>
              <w:t>0–8</w:t>
            </w:r>
          </w:p>
        </w:tc>
        <w:tc>
          <w:tcPr>
            <w:tcW w:type="dxa" w:w="8712"/>
          </w:tcPr>
          <w:p>
            <w:pPr>
              <w:spacing w:before="20" w:after="20" w:line="252" w:lineRule="auto"/>
            </w:pPr>
            <w:r>
              <w:rPr>
                <w:rFonts w:ascii="Barlow" w:hAnsi="Barlow" w:cs="Barlow"/>
                <w:b w:val="0"/>
                <w:i w:val="0"/>
                <w:sz w:val="18"/>
              </w:rPr>
              <w:t>Collect M03 HW2. Then Diane's one-number ask and FOREMAN's 94%-confident adequacy sentence. Take a vote.</w:t>
            </w:r>
          </w:p>
        </w:tc>
      </w:tr>
      <w:tr>
        <w:tc>
          <w:tcPr>
            <w:tcW w:type="dxa" w:w="1224"/>
            <w:shd w:val="clear" w:color="auto" w:fill="F4F6F8"/>
          </w:tcPr>
          <w:p>
            <w:pPr>
              <w:spacing w:before="20" w:after="20" w:line="252" w:lineRule="auto"/>
            </w:pPr>
            <w:r>
              <w:rPr>
                <w:rFonts w:ascii="Barlow" w:hAnsi="Barlow" w:cs="Barlow"/>
                <w:b w:val="0"/>
                <w:i w:val="0"/>
                <w:sz w:val="18"/>
              </w:rPr>
              <w:t>8–23</w:t>
            </w:r>
          </w:p>
        </w:tc>
        <w:tc>
          <w:tcPr>
            <w:tcW w:type="dxa" w:w="8712"/>
            <w:shd w:val="clear" w:color="auto" w:fill="F4F6F8"/>
          </w:tcPr>
          <w:p>
            <w:pPr>
              <w:spacing w:before="20" w:after="20" w:line="252" w:lineRule="auto"/>
            </w:pPr>
            <w:r>
              <w:rPr>
                <w:rFonts w:ascii="Barlow" w:hAnsi="Barlow" w:cs="Barlow"/>
                <w:b w:val="0"/>
                <w:i w:val="0"/>
                <w:sz w:val="18"/>
              </w:rPr>
              <w:t>Data sets, variables, mean, variance, SD, and why units change at variance.</w:t>
            </w:r>
          </w:p>
        </w:tc>
      </w:tr>
      <w:tr>
        <w:tc>
          <w:tcPr>
            <w:tcW w:type="dxa" w:w="1224"/>
          </w:tcPr>
          <w:p>
            <w:pPr>
              <w:spacing w:before="20" w:after="20" w:line="252" w:lineRule="auto"/>
            </w:pPr>
            <w:r>
              <w:rPr>
                <w:rFonts w:ascii="Barlow" w:hAnsi="Barlow" w:cs="Barlow"/>
                <w:b w:val="0"/>
                <w:i w:val="0"/>
                <w:sz w:val="18"/>
              </w:rPr>
              <w:t>23–33</w:t>
            </w:r>
          </w:p>
        </w:tc>
        <w:tc>
          <w:tcPr>
            <w:tcW w:type="dxa" w:w="8712"/>
          </w:tcPr>
          <w:p>
            <w:pPr>
              <w:spacing w:before="20" w:after="20" w:line="252" w:lineRule="auto"/>
            </w:pPr>
            <w:r>
              <w:rPr>
                <w:rFonts w:ascii="Barlow" w:hAnsi="Barlow" w:cs="Barlow"/>
                <w:b w:val="0"/>
                <w:i w:val="0"/>
                <w:sz w:val="18"/>
              </w:rPr>
              <w:t>CV and sample versus population. Set up formulas; give no computed answers.</w:t>
            </w:r>
          </w:p>
        </w:tc>
      </w:tr>
      <w:tr>
        <w:tc>
          <w:tcPr>
            <w:tcW w:type="dxa" w:w="1224"/>
            <w:shd w:val="clear" w:color="auto" w:fill="F4F6F8"/>
          </w:tcPr>
          <w:p>
            <w:pPr>
              <w:spacing w:before="20" w:after="20" w:line="252" w:lineRule="auto"/>
            </w:pPr>
            <w:r>
              <w:rPr>
                <w:rFonts w:ascii="Barlow" w:hAnsi="Barlow" w:cs="Barlow"/>
                <w:b w:val="0"/>
                <w:i w:val="0"/>
                <w:sz w:val="18"/>
              </w:rPr>
              <w:t>33–55</w:t>
            </w:r>
          </w:p>
        </w:tc>
        <w:tc>
          <w:tcPr>
            <w:tcW w:type="dxa" w:w="8712"/>
            <w:shd w:val="clear" w:color="auto" w:fill="F4F6F8"/>
          </w:tcPr>
          <w:p>
            <w:pPr>
              <w:spacing w:before="20" w:after="20" w:line="252" w:lineRule="auto"/>
            </w:pPr>
            <w:r>
              <w:rPr>
                <w:rFonts w:ascii="Barlow" w:hAnsi="Barlow" w:cs="Barlow"/>
                <w:b w:val="0"/>
                <w:i w:val="0"/>
                <w:sz w:val="18"/>
              </w:rPr>
              <w:t>Spreadsheet hunt in pairs. Center, spread, low count, and sampling scope.</w:t>
            </w:r>
          </w:p>
        </w:tc>
      </w:tr>
      <w:tr>
        <w:tc>
          <w:tcPr>
            <w:tcW w:type="dxa" w:w="1224"/>
          </w:tcPr>
          <w:p>
            <w:pPr>
              <w:spacing w:before="20" w:after="20" w:line="252" w:lineRule="auto"/>
            </w:pPr>
            <w:r>
              <w:rPr>
                <w:rFonts w:ascii="Barlow" w:hAnsi="Barlow" w:cs="Barlow"/>
                <w:b w:val="0"/>
                <w:i w:val="0"/>
                <w:sz w:val="18"/>
              </w:rPr>
              <w:t>55–67</w:t>
            </w:r>
          </w:p>
        </w:tc>
        <w:tc>
          <w:tcPr>
            <w:tcW w:type="dxa" w:w="8712"/>
          </w:tcPr>
          <w:p>
            <w:pPr>
              <w:spacing w:before="20" w:after="20" w:line="252" w:lineRule="auto"/>
            </w:pPr>
            <w:r>
              <w:rPr>
                <w:rFonts w:ascii="Barlow" w:hAnsi="Barlow" w:cs="Barlow"/>
                <w:b w:val="0"/>
                <w:i w:val="0"/>
                <w:sz w:val="18"/>
              </w:rPr>
              <w:t>Reveal the strip plot and statistics. Compare the mean-only and spread-aware stories.</w:t>
            </w:r>
          </w:p>
        </w:tc>
      </w:tr>
      <w:tr>
        <w:tc>
          <w:tcPr>
            <w:tcW w:type="dxa" w:w="1224"/>
            <w:shd w:val="clear" w:color="auto" w:fill="F4F6F8"/>
          </w:tcPr>
          <w:p>
            <w:pPr>
              <w:spacing w:before="20" w:after="20" w:line="252" w:lineRule="auto"/>
            </w:pPr>
            <w:r>
              <w:rPr>
                <w:rFonts w:ascii="Barlow" w:hAnsi="Barlow" w:cs="Barlow"/>
                <w:b w:val="0"/>
                <w:i w:val="0"/>
                <w:sz w:val="18"/>
              </w:rPr>
              <w:t>67–73</w:t>
            </w:r>
          </w:p>
        </w:tc>
        <w:tc>
          <w:tcPr>
            <w:tcW w:type="dxa" w:w="8712"/>
            <w:shd w:val="clear" w:color="auto" w:fill="F4F6F8"/>
          </w:tcPr>
          <w:p>
            <w:pPr>
              <w:spacing w:before="20" w:after="20" w:line="252" w:lineRule="auto"/>
            </w:pPr>
            <w:r>
              <w:rPr>
                <w:rFonts w:ascii="Barlow" w:hAnsi="Barlow" w:cs="Barlow"/>
                <w:b w:val="0"/>
                <w:i w:val="0"/>
                <w:sz w:val="18"/>
              </w:rPr>
              <w:t>Students write the three-sentence brief and note v1.</w:t>
            </w:r>
          </w:p>
        </w:tc>
      </w:tr>
      <w:tr>
        <w:tc>
          <w:tcPr>
            <w:tcW w:type="dxa" w:w="1224"/>
          </w:tcPr>
          <w:p>
            <w:pPr>
              <w:spacing w:before="20" w:after="20" w:line="252" w:lineRule="auto"/>
            </w:pPr>
            <w:r>
              <w:rPr>
                <w:rFonts w:ascii="Barlow" w:hAnsi="Barlow" w:cs="Barlow"/>
                <w:b w:val="0"/>
                <w:i w:val="0"/>
                <w:sz w:val="18"/>
              </w:rPr>
              <w:t>73–75</w:t>
            </w:r>
          </w:p>
        </w:tc>
        <w:tc>
          <w:tcPr>
            <w:tcW w:type="dxa" w:w="8712"/>
          </w:tcPr>
          <w:p>
            <w:pPr>
              <w:spacing w:before="20" w:after="20" w:line="252" w:lineRule="auto"/>
            </w:pPr>
            <w:r>
              <w:rPr>
                <w:rFonts w:ascii="Barlow" w:hAnsi="Barlow" w:cs="Barlow"/>
                <w:b w:val="0"/>
                <w:i w:val="0"/>
                <w:sz w:val="18"/>
              </w:rPr>
              <w:t>Mask off: Diane is wrong to ask for only one number and right to need brevity.</w:t>
            </w:r>
          </w:p>
        </w:tc>
      </w:tr>
    </w:tbl>
    <w:sectPr w:rsidR="00FC693F" w:rsidRPr="0006063C" w:rsidSect="00034616">
      <w:headerReference w:type="default" r:id="rId9"/>
      <w:footerReference w:type="default" r:id="rId10"/>
      <w:pgSz w:w="12240" w:h="15840"/>
      <w:pgMar w:top="1224" w:right="1152" w:bottom="1152" w:left="1152"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tabs>
        <w:tab w:val="right" w:pos="9936"/>
      </w:tabs>
    </w:pPr>
    <w:r>
      <w:rPr>
        <w:rFonts w:ascii="Barlow" w:hAnsi="Barlow" w:cs="Barlow"/>
        <w:b w:val="0"/>
        <w:i w:val="0"/>
        <w:color w:val="6B7280"/>
        <w:sz w:val="16"/>
      </w:rPr>
      <w:t>SEIS 201  ·  M04</w:t>
    </w:r>
    <w:r>
      <w:tab/>
    </w:r>
    <w:r>
      <w:rPr>
        <w:rFonts w:ascii="Barlow" w:hAnsi="Barlow"/>
        <w:color w:val="6B7280"/>
        <w:sz w:val="16"/>
      </w:rPr>
      <w:fldChar w:fldCharType="begin"/>
      <w:instrText xml:space="preserve"> PAGE </w:instrText>
      <w:fldChar w:fldCharType="end"/>
    </w:r>
    <w:r>
      <w:rPr>
        <w:rFonts w:ascii="Barlow" w:hAnsi="Barlow"/>
        <w:color w:val="6B7280"/>
        <w:sz w:val="16"/>
      </w:rPr>
      <w:t xml:space="preserve"> of </w:t>
    </w:r>
    <w:r>
      <w:rPr>
        <w:rFonts w:ascii="Barlow" w:hAnsi="Barlow"/>
        <w:color w:val="6B7280"/>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space="4" w:color="C9CFD6"/>
      </w:pBdr>
    </w:pPr>
    <w:r>
      <w:rPr>
        <w:rFonts w:ascii="Barlow Condensed" w:hAnsi="Barlow Condensed" w:cs="Barlow Condensed"/>
        <w:b w:val="0"/>
        <w:i w:val="0"/>
        <w:color w:val="6B7280"/>
        <w:sz w:val="17"/>
        <w:caps w:val="1"/>
        <w:spacing w:val="20"/>
      </w:rPr>
      <w:t>SEIS 201  ·  AI FOR CE/ME ENGINEERS</w:t>
    </w:r>
    <w:r>
      <w:tab/>
      <w:tab/>
    </w:r>
    <w:r>
      <w:rPr>
        <w:rFonts w:ascii="Barlow Condensed" w:hAnsi="Barlow Condensed" w:cs="Barlow Condensed"/>
        <w:b w:val="0"/>
        <w:i w:val="0"/>
        <w:color w:val="6B7280"/>
        <w:sz w:val="17"/>
        <w:caps w:val="1"/>
        <w:spacing w:val="20"/>
      </w:rPr>
      <w:t>M04  ·  INSTRUCTOR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w:hAnsi="Barlow" w:eastAsia="Barlo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