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9C4A2F"/>
          <w:sz w:val="42"/>
        </w:rPr>
        <w:t>KC-MB-12 — Movable Bridge Inspection Specification</w:t>
      </w:r>
    </w:p>
    <w:p>
      <w:pPr>
        <w:spacing w:before="0" w:after="80" w:line="276" w:lineRule="auto"/>
      </w:pPr>
      <w:r>
        <w:rPr>
          <w:rFonts w:ascii="Barlow" w:hAnsi="Barlow" w:cs="Barlow"/>
          <w:b w:val="0"/>
          <w:i w:val="0"/>
          <w:color w:val="6B7280"/>
          <w:sz w:val="17"/>
        </w:rPr>
        <w:t>Revision 3  ·  Adopted March 2024  ·  Supersedes Rev. 2 (2016)  ·  Applies to all movable bridges owned or maintained by Kinnick County</w:t>
      </w:r>
    </w:p>
    <w:p>
      <w:pPr>
        <w:spacing w:before="0" w:after="160" w:line="276" w:lineRule="auto"/>
        <w:pBdr>
          <w:bottom w:val="single" w:sz="6" w:space="4" w:color="9C4A2F"/>
        </w:pBdr>
      </w:pPr>
    </w:p>
    <w:p>
      <w:pPr>
        <w:spacing w:before="200" w:after="60" w:line="240" w:lineRule="auto"/>
      </w:pPr>
      <w:r>
        <w:rPr>
          <w:rFonts w:ascii="Barlow Condensed" w:hAnsi="Barlow Condensed" w:cs="Barlow Condensed"/>
          <w:b/>
          <w:i w:val="0"/>
          <w:color w:val="9C4A2F"/>
          <w:sz w:val="23"/>
        </w:rPr>
        <w:t xml:space="preserve">1   </w:t>
      </w:r>
      <w:r>
        <w:rPr>
          <w:rFonts w:ascii="Barlow Condensed" w:hAnsi="Barlow Condensed" w:cs="Barlow Condensed"/>
          <w:b/>
          <w:i w:val="0"/>
          <w:color w:val="9C4A2F"/>
          <w:sz w:val="23"/>
          <w:caps w:val="1"/>
          <w:spacing w:val="12"/>
        </w:rPr>
        <w:t>Scope and Application</w:t>
      </w:r>
    </w:p>
    <w:p>
      <w:pPr>
        <w:spacing w:before="0" w:after="100" w:line="274" w:lineRule="auto"/>
        <w:ind w:left="605" w:hanging="605"/>
      </w:pPr>
      <w:r>
        <w:rPr>
          <w:rFonts w:ascii="IBM Plex Mono" w:hAnsi="IBM Plex Mono" w:cs="IBM Plex Mono"/>
          <w:b/>
          <w:i w:val="0"/>
          <w:color w:val="2B2F36"/>
          <w:sz w:val="19"/>
        </w:rPr>
        <w:t xml:space="preserve">1.1  </w:t>
      </w:r>
      <w:r>
        <w:rPr>
          <w:rFonts w:ascii="Barlow" w:hAnsi="Barlow" w:cs="Barlow"/>
          <w:b w:val="0"/>
          <w:i w:val="0"/>
          <w:sz w:val="19"/>
        </w:rPr>
        <w:t>This specification governs the inspection of movable bridges owned or maintained by Kinnick County, including vertical lift, bascule and swing spans. It applies to the structure, the operating machinery, and any instrumentation installed on either.</w:t>
      </w:r>
    </w:p>
    <w:p>
      <w:pPr>
        <w:spacing w:before="0" w:after="100" w:line="274" w:lineRule="auto"/>
        <w:ind w:left="605" w:hanging="605"/>
      </w:pPr>
      <w:r>
        <w:rPr>
          <w:rFonts w:ascii="IBM Plex Mono" w:hAnsi="IBM Plex Mono" w:cs="IBM Plex Mono"/>
          <w:b/>
          <w:i w:val="0"/>
          <w:color w:val="2B2F36"/>
          <w:sz w:val="19"/>
        </w:rPr>
        <w:t xml:space="preserve">1.2  </w:t>
      </w:r>
      <w:r>
        <w:rPr>
          <w:rFonts w:ascii="Barlow" w:hAnsi="Barlow" w:cs="Barlow"/>
          <w:b w:val="0"/>
          <w:i w:val="0"/>
          <w:sz w:val="19"/>
        </w:rPr>
        <w:t>Where this specification and a state or federal requirement differ, the more frequent inspection interval and the more restrictive personnel requirement govern.</w:t>
      </w:r>
    </w:p>
    <w:p>
      <w:pPr>
        <w:spacing w:before="0" w:after="100" w:line="274" w:lineRule="auto"/>
        <w:ind w:left="605" w:hanging="605"/>
      </w:pPr>
      <w:r>
        <w:rPr>
          <w:rFonts w:ascii="IBM Plex Mono" w:hAnsi="IBM Plex Mono" w:cs="IBM Plex Mono"/>
          <w:b/>
          <w:i w:val="0"/>
          <w:color w:val="2B2F36"/>
          <w:sz w:val="19"/>
        </w:rPr>
        <w:t xml:space="preserve">1.3  </w:t>
      </w:r>
      <w:r>
        <w:rPr>
          <w:rFonts w:ascii="Barlow" w:hAnsi="Barlow" w:cs="Barlow"/>
          <w:b w:val="0"/>
          <w:i w:val="0"/>
          <w:sz w:val="19"/>
        </w:rPr>
        <w:t>In this specification, “movable span” means the portion of the structure that is raised, rotated or otherwise displaced to pass navigation. “Machinery” means the drive motors, reducers, shafts, bearings, sheaves, ropes, counterweights and span locks.</w:t>
      </w:r>
    </w:p>
    <w:p>
      <w:pPr>
        <w:spacing w:before="200" w:after="60" w:line="240" w:lineRule="auto"/>
      </w:pPr>
      <w:r>
        <w:rPr>
          <w:rFonts w:ascii="Barlow Condensed" w:hAnsi="Barlow Condensed" w:cs="Barlow Condensed"/>
          <w:b/>
          <w:i w:val="0"/>
          <w:color w:val="9C4A2F"/>
          <w:sz w:val="23"/>
        </w:rPr>
        <w:t xml:space="preserve">2   </w:t>
      </w:r>
      <w:r>
        <w:rPr>
          <w:rFonts w:ascii="Barlow Condensed" w:hAnsi="Barlow Condensed" w:cs="Barlow Condensed"/>
          <w:b/>
          <w:i w:val="0"/>
          <w:color w:val="9C4A2F"/>
          <w:sz w:val="23"/>
          <w:caps w:val="1"/>
          <w:spacing w:val="12"/>
        </w:rPr>
        <w:t>Inspection Types and Intervals</w:t>
      </w:r>
    </w:p>
    <w:p>
      <w:pPr>
        <w:spacing w:before="0" w:after="100" w:line="274" w:lineRule="auto"/>
        <w:ind w:left="605" w:hanging="605"/>
      </w:pPr>
      <w:r>
        <w:rPr>
          <w:rFonts w:ascii="IBM Plex Mono" w:hAnsi="IBM Plex Mono" w:cs="IBM Plex Mono"/>
          <w:b/>
          <w:i w:val="0"/>
          <w:color w:val="2B2F36"/>
          <w:sz w:val="19"/>
        </w:rPr>
        <w:t xml:space="preserve">2.1  </w:t>
      </w:r>
      <w:r>
        <w:rPr>
          <w:rFonts w:ascii="Barlow" w:hAnsi="Barlow" w:cs="Barlow"/>
          <w:b w:val="0"/>
          <w:i w:val="0"/>
          <w:sz w:val="19"/>
        </w:rPr>
        <w:t xml:space="preserve">Routine inspection. Every movable bridge shall receive a routine inspection at intervals not exceeding </w:t>
      </w:r>
      <w:r>
        <w:rPr>
          <w:rFonts w:ascii="Barlow" w:hAnsi="Barlow" w:cs="Barlow"/>
          <w:b/>
          <w:i w:val="0"/>
          <w:sz w:val="19"/>
        </w:rPr>
        <w:t>24 months</w:t>
      </w:r>
      <w:r>
        <w:rPr>
          <w:rFonts w:ascii="Barlow" w:hAnsi="Barlow" w:cs="Barlow"/>
          <w:b w:val="0"/>
          <w:i w:val="0"/>
          <w:sz w:val="19"/>
        </w:rPr>
        <w:t>.</w:t>
      </w:r>
    </w:p>
    <w:p>
      <w:pPr>
        <w:spacing w:before="0" w:after="100" w:line="274" w:lineRule="auto"/>
        <w:ind w:left="605" w:hanging="605"/>
      </w:pPr>
      <w:r>
        <w:rPr>
          <w:rFonts w:ascii="IBM Plex Mono" w:hAnsi="IBM Plex Mono" w:cs="IBM Plex Mono"/>
          <w:b/>
          <w:i w:val="0"/>
          <w:color w:val="2B2F36"/>
          <w:sz w:val="19"/>
        </w:rPr>
        <w:t xml:space="preserve">2.2  </w:t>
      </w:r>
      <w:r>
        <w:rPr>
          <w:rFonts w:ascii="Barlow" w:hAnsi="Barlow" w:cs="Barlow"/>
          <w:b w:val="0"/>
          <w:i w:val="0"/>
          <w:sz w:val="19"/>
        </w:rPr>
        <w:t xml:space="preserve">Machinery inspection. Operating machinery shall be inspected at intervals not exceeding </w:t>
      </w:r>
      <w:r>
        <w:rPr>
          <w:rFonts w:ascii="Barlow" w:hAnsi="Barlow" w:cs="Barlow"/>
          <w:b/>
          <w:i w:val="0"/>
          <w:sz w:val="19"/>
        </w:rPr>
        <w:t>12 months</w:t>
      </w:r>
      <w:r>
        <w:rPr>
          <w:rFonts w:ascii="Barlow" w:hAnsi="Barlow" w:cs="Barlow"/>
          <w:b w:val="0"/>
          <w:i w:val="0"/>
          <w:sz w:val="19"/>
        </w:rPr>
        <w:t>. A machinery inspection may be performed concurrently with a routine inspection but shall be reported separately.</w:t>
      </w:r>
    </w:p>
    <w:p>
      <w:pPr>
        <w:spacing w:before="0" w:after="100" w:line="274" w:lineRule="auto"/>
        <w:ind w:left="605" w:hanging="605"/>
      </w:pPr>
      <w:r>
        <w:rPr>
          <w:rFonts w:ascii="IBM Plex Mono" w:hAnsi="IBM Plex Mono" w:cs="IBM Plex Mono"/>
          <w:b/>
          <w:i w:val="0"/>
          <w:color w:val="2B2F36"/>
          <w:sz w:val="19"/>
        </w:rPr>
        <w:t xml:space="preserve">2.3  </w:t>
      </w:r>
      <w:r>
        <w:rPr>
          <w:rFonts w:ascii="Barlow" w:hAnsi="Barlow" w:cs="Barlow"/>
          <w:b w:val="0"/>
          <w:i w:val="0"/>
          <w:sz w:val="19"/>
        </w:rPr>
        <w:t xml:space="preserve">In-depth inspection. An in-depth inspection shall be performed at intervals not exceeding </w:t>
      </w:r>
      <w:r>
        <w:rPr>
          <w:rFonts w:ascii="Barlow" w:hAnsi="Barlow" w:cs="Barlow"/>
          <w:b/>
          <w:i w:val="0"/>
          <w:sz w:val="19"/>
        </w:rPr>
        <w:t>60 months</w:t>
      </w:r>
      <w:r>
        <w:rPr>
          <w:rFonts w:ascii="Barlow" w:hAnsi="Barlow" w:cs="Barlow"/>
          <w:b w:val="0"/>
          <w:i w:val="0"/>
          <w:sz w:val="19"/>
        </w:rPr>
        <w:t>, or whenever a routine inspection identifies a condition the team leader cannot assess from the routine inspection alone.</w:t>
      </w:r>
    </w:p>
    <w:p>
      <w:pPr>
        <w:spacing w:before="0" w:after="100" w:line="274" w:lineRule="auto"/>
        <w:ind w:left="605" w:hanging="605"/>
      </w:pPr>
      <w:r>
        <w:rPr>
          <w:rFonts w:ascii="IBM Plex Mono" w:hAnsi="IBM Plex Mono" w:cs="IBM Plex Mono"/>
          <w:b/>
          <w:i w:val="0"/>
          <w:color w:val="2B2F36"/>
          <w:sz w:val="19"/>
        </w:rPr>
        <w:t xml:space="preserve">2.4  </w:t>
      </w:r>
      <w:r>
        <w:rPr>
          <w:rFonts w:ascii="Barlow" w:hAnsi="Barlow" w:cs="Barlow"/>
          <w:b w:val="0"/>
          <w:i w:val="0"/>
          <w:sz w:val="19"/>
        </w:rPr>
        <w:t xml:space="preserve">Special inspection. A special inspection shall be performed within </w:t>
      </w:r>
      <w:r>
        <w:rPr>
          <w:rFonts w:ascii="Barlow" w:hAnsi="Barlow" w:cs="Barlow"/>
          <w:b/>
          <w:i w:val="0"/>
          <w:sz w:val="19"/>
        </w:rPr>
        <w:t>30 days</w:t>
      </w:r>
      <w:r>
        <w:rPr>
          <w:rFonts w:ascii="Barlow" w:hAnsi="Barlow" w:cs="Barlow"/>
          <w:b w:val="0"/>
          <w:i w:val="0"/>
          <w:sz w:val="19"/>
        </w:rPr>
        <w:t xml:space="preserve"> of any of the following: a vessel or vehicle impact; a flood exceeding the 10-year stage; a load exceeding the posted limit; a failure of a machinery component; or written direction from the County Engineer.</w:t>
      </w:r>
    </w:p>
    <w:p>
      <w:pPr>
        <w:spacing w:before="200" w:after="60" w:line="240" w:lineRule="auto"/>
      </w:pPr>
      <w:r>
        <w:rPr>
          <w:rFonts w:ascii="Barlow Condensed" w:hAnsi="Barlow Condensed" w:cs="Barlow Condensed"/>
          <w:b/>
          <w:i w:val="0"/>
          <w:color w:val="9C4A2F"/>
          <w:sz w:val="23"/>
        </w:rPr>
        <w:t xml:space="preserve">3   </w:t>
      </w:r>
      <w:r>
        <w:rPr>
          <w:rFonts w:ascii="Barlow Condensed" w:hAnsi="Barlow Condensed" w:cs="Barlow Condensed"/>
          <w:b/>
          <w:i w:val="0"/>
          <w:color w:val="9C4A2F"/>
          <w:sz w:val="23"/>
          <w:caps w:val="1"/>
          <w:spacing w:val="12"/>
        </w:rPr>
        <w:t>Personnel and Responsible Charge</w:t>
      </w:r>
    </w:p>
    <w:p>
      <w:pPr>
        <w:spacing w:before="0" w:after="100" w:line="274" w:lineRule="auto"/>
        <w:ind w:left="605" w:hanging="605"/>
      </w:pPr>
      <w:r>
        <w:rPr>
          <w:rFonts w:ascii="IBM Plex Mono" w:hAnsi="IBM Plex Mono" w:cs="IBM Plex Mono"/>
          <w:b/>
          <w:i w:val="0"/>
          <w:color w:val="2B2F36"/>
          <w:sz w:val="19"/>
        </w:rPr>
        <w:t xml:space="preserve">3.1  </w:t>
      </w:r>
      <w:r>
        <w:rPr>
          <w:rFonts w:ascii="Barlow" w:hAnsi="Barlow" w:cs="Barlow"/>
          <w:b w:val="0"/>
          <w:i w:val="0"/>
          <w:sz w:val="19"/>
        </w:rPr>
        <w:t>Each inspection shall be performed by a team under the direction of a team leader meeting the qualification requirements of the National Bridge Inspection Standards.</w:t>
      </w:r>
    </w:p>
    <w:p>
      <w:pPr>
        <w:spacing w:before="0" w:after="100" w:line="274" w:lineRule="auto"/>
        <w:ind w:left="605" w:hanging="605"/>
      </w:pPr>
      <w:r>
        <w:rPr>
          <w:rFonts w:ascii="IBM Plex Mono" w:hAnsi="IBM Plex Mono" w:cs="IBM Plex Mono"/>
          <w:b/>
          <w:i w:val="0"/>
          <w:color w:val="2B2F36"/>
          <w:sz w:val="19"/>
        </w:rPr>
        <w:t xml:space="preserve">3.2  </w:t>
      </w:r>
      <w:r>
        <w:rPr>
          <w:rFonts w:ascii="Barlow" w:hAnsi="Barlow" w:cs="Barlow"/>
          <w:b w:val="0"/>
          <w:i w:val="0"/>
          <w:sz w:val="19"/>
        </w:rPr>
        <w:t xml:space="preserve">A licensed professional engineer </w:t>
      </w:r>
      <w:r>
        <w:rPr>
          <w:rFonts w:ascii="Barlow" w:hAnsi="Barlow" w:cs="Barlow"/>
          <w:b/>
          <w:i w:val="0"/>
          <w:sz w:val="19"/>
        </w:rPr>
        <w:t>shall review and seal</w:t>
      </w:r>
      <w:r>
        <w:rPr>
          <w:rFonts w:ascii="Barlow" w:hAnsi="Barlow" w:cs="Barlow"/>
          <w:b w:val="0"/>
          <w:i w:val="0"/>
          <w:sz w:val="19"/>
        </w:rPr>
        <w:t xml:space="preserve"> every inspection report before it is submitted to the County. The sealing engineer </w:t>
      </w:r>
      <w:r>
        <w:rPr>
          <w:rFonts w:ascii="Barlow" w:hAnsi="Barlow" w:cs="Barlow"/>
          <w:b/>
          <w:i w:val="0"/>
          <w:sz w:val="19"/>
        </w:rPr>
        <w:t>shall be in responsible charge</w:t>
      </w:r>
      <w:r>
        <w:rPr>
          <w:rFonts w:ascii="Barlow" w:hAnsi="Barlow" w:cs="Barlow"/>
          <w:b w:val="0"/>
          <w:i w:val="0"/>
          <w:sz w:val="19"/>
        </w:rPr>
        <w:t xml:space="preserve"> of the findings, regardless of what tools, software or automated methods were used to produce them.</w:t>
      </w:r>
    </w:p>
    <w:p>
      <w:pPr>
        <w:spacing w:before="0" w:after="100" w:line="274" w:lineRule="auto"/>
        <w:ind w:left="605" w:hanging="605"/>
      </w:pPr>
      <w:r>
        <w:rPr>
          <w:rFonts w:ascii="IBM Plex Mono" w:hAnsi="IBM Plex Mono" w:cs="IBM Plex Mono"/>
          <w:b/>
          <w:i w:val="0"/>
          <w:color w:val="2B2F36"/>
          <w:sz w:val="19"/>
        </w:rPr>
        <w:t xml:space="preserve">3.3  </w:t>
      </w:r>
      <w:r>
        <w:rPr>
          <w:rFonts w:ascii="Barlow" w:hAnsi="Barlow" w:cs="Barlow"/>
          <w:b w:val="0"/>
          <w:i w:val="0"/>
          <w:sz w:val="19"/>
        </w:rPr>
        <w:t>Machinery inspection shall include at least one person with documented experience on movable bridge machinery of the same type.</w:t>
      </w:r>
    </w:p>
    <w:p>
      <w:pPr>
        <w:spacing w:before="200" w:after="60" w:line="240" w:lineRule="auto"/>
      </w:pPr>
      <w:r>
        <w:rPr>
          <w:rFonts w:ascii="Barlow Condensed" w:hAnsi="Barlow Condensed" w:cs="Barlow Condensed"/>
          <w:b/>
          <w:i w:val="0"/>
          <w:color w:val="9C4A2F"/>
          <w:sz w:val="23"/>
        </w:rPr>
        <w:t xml:space="preserve">4   </w:t>
      </w:r>
      <w:r>
        <w:rPr>
          <w:rFonts w:ascii="Barlow Condensed" w:hAnsi="Barlow Condensed" w:cs="Barlow Condensed"/>
          <w:b/>
          <w:i w:val="0"/>
          <w:color w:val="9C4A2F"/>
          <w:sz w:val="23"/>
          <w:caps w:val="1"/>
          <w:spacing w:val="12"/>
        </w:rPr>
        <w:t>Instrumentation and Monitoring</w:t>
      </w:r>
    </w:p>
    <w:p>
      <w:pPr>
        <w:spacing w:before="0" w:after="100" w:line="274" w:lineRule="auto"/>
        <w:ind w:left="605" w:hanging="605"/>
      </w:pPr>
      <w:r>
        <w:rPr>
          <w:rFonts w:ascii="IBM Plex Mono" w:hAnsi="IBM Plex Mono" w:cs="IBM Plex Mono"/>
          <w:b/>
          <w:i w:val="0"/>
          <w:color w:val="2B2F36"/>
          <w:sz w:val="19"/>
        </w:rPr>
        <w:t xml:space="preserve">4.1  </w:t>
      </w:r>
      <w:r>
        <w:rPr>
          <w:rFonts w:ascii="Barlow" w:hAnsi="Barlow" w:cs="Barlow"/>
          <w:b w:val="0"/>
          <w:i w:val="0"/>
          <w:sz w:val="19"/>
        </w:rPr>
        <w:t xml:space="preserve">Instrumentation may be installed to supplement inspection. Instrumentation </w:t>
      </w:r>
      <w:r>
        <w:rPr>
          <w:rFonts w:ascii="Barlow" w:hAnsi="Barlow" w:cs="Barlow"/>
          <w:b/>
          <w:i w:val="0"/>
          <w:sz w:val="19"/>
        </w:rPr>
        <w:t>does not reduce</w:t>
      </w:r>
      <w:r>
        <w:rPr>
          <w:rFonts w:ascii="Barlow" w:hAnsi="Barlow" w:cs="Barlow"/>
          <w:b w:val="0"/>
          <w:i w:val="0"/>
          <w:sz w:val="19"/>
        </w:rPr>
        <w:t xml:space="preserve"> any inspection interval in Section 2.</w:t>
      </w:r>
    </w:p>
    <w:p>
      <w:pPr>
        <w:spacing w:before="0" w:after="100" w:line="274" w:lineRule="auto"/>
        <w:ind w:left="605" w:hanging="605"/>
      </w:pPr>
      <w:r>
        <w:rPr>
          <w:rFonts w:ascii="IBM Plex Mono" w:hAnsi="IBM Plex Mono" w:cs="IBM Plex Mono"/>
          <w:b/>
          <w:i w:val="0"/>
          <w:color w:val="2B2F36"/>
          <w:sz w:val="19"/>
        </w:rPr>
        <w:t xml:space="preserve">4.2  </w:t>
      </w:r>
      <w:r>
        <w:rPr>
          <w:rFonts w:ascii="Barlow" w:hAnsi="Barlow" w:cs="Barlow"/>
          <w:b w:val="0"/>
          <w:i w:val="0"/>
          <w:sz w:val="19"/>
        </w:rPr>
        <w:t>Permitted instrumentation includes strain gauges, displacement transducers, accelerometers, thermocouples and tilt sensors.</w:t>
      </w:r>
    </w:p>
    <w:p>
      <w:pPr>
        <w:spacing w:before="0" w:after="100" w:line="274" w:lineRule="auto"/>
        <w:ind w:left="605" w:hanging="605"/>
      </w:pPr>
      <w:r>
        <w:rPr>
          <w:rFonts w:ascii="IBM Plex Mono" w:hAnsi="IBM Plex Mono" w:cs="IBM Plex Mono"/>
          <w:b/>
          <w:i w:val="0"/>
          <w:color w:val="2B2F36"/>
          <w:sz w:val="19"/>
        </w:rPr>
        <w:t xml:space="preserve">4.3  </w:t>
      </w:r>
      <w:r>
        <w:rPr>
          <w:rFonts w:ascii="Barlow" w:hAnsi="Barlow" w:cs="Barlow"/>
          <w:b w:val="0"/>
          <w:i w:val="0"/>
          <w:sz w:val="19"/>
        </w:rPr>
        <w:t xml:space="preserve">Baseline acceptance. Following installation, each gauge shall be verified under no load. </w:t>
      </w:r>
      <w:r>
        <w:rPr>
          <w:rFonts w:ascii="Barlow" w:hAnsi="Barlow" w:cs="Barlow"/>
          <w:b/>
          <w:i w:val="0"/>
          <w:sz w:val="19"/>
        </w:rPr>
        <w:t>Each gauge shall read within ±25 µε of zero</w:t>
      </w:r>
      <w:r>
        <w:rPr>
          <w:rFonts w:ascii="Barlow" w:hAnsi="Barlow" w:cs="Barlow"/>
          <w:b w:val="0"/>
          <w:i w:val="0"/>
          <w:sz w:val="19"/>
        </w:rPr>
        <w:t>. A gauge failing this check shall be re-zeroed or replaced before the array is accepted.</w:t>
      </w:r>
    </w:p>
    <w:p>
      <w:pPr>
        <w:spacing w:before="0" w:after="100" w:line="274" w:lineRule="auto"/>
        <w:ind w:left="605" w:hanging="605"/>
      </w:pPr>
      <w:r>
        <w:rPr>
          <w:rFonts w:ascii="IBM Plex Mono" w:hAnsi="IBM Plex Mono" w:cs="IBM Plex Mono"/>
          <w:b/>
          <w:i w:val="0"/>
          <w:color w:val="2B2F36"/>
          <w:sz w:val="19"/>
        </w:rPr>
        <w:t xml:space="preserve">4.4  </w:t>
      </w:r>
      <w:r>
        <w:rPr>
          <w:rFonts w:ascii="Barlow" w:hAnsi="Barlow" w:cs="Barlow"/>
          <w:b w:val="0"/>
          <w:i w:val="0"/>
          <w:sz w:val="19"/>
        </w:rPr>
        <w:t>Instrumentation data shall be retained for the service life of the structure and delivered to the County in a non-proprietary format.</w:t>
      </w:r>
    </w:p>
    <w:p>
      <w:pPr>
        <w:spacing w:before="0" w:after="100" w:line="274" w:lineRule="auto"/>
        <w:ind w:left="605" w:hanging="605"/>
      </w:pPr>
      <w:r>
        <w:rPr>
          <w:rFonts w:ascii="IBM Plex Mono" w:hAnsi="IBM Plex Mono" w:cs="IBM Plex Mono"/>
          <w:b/>
          <w:i w:val="0"/>
          <w:color w:val="2B2F36"/>
          <w:sz w:val="19"/>
        </w:rPr>
        <w:t xml:space="preserve">4.5  </w:t>
      </w:r>
      <w:r>
        <w:rPr>
          <w:rFonts w:ascii="Barlow" w:hAnsi="Barlow" w:cs="Barlow"/>
          <w:b w:val="0"/>
          <w:i w:val="0"/>
          <w:sz w:val="19"/>
        </w:rPr>
        <w:t xml:space="preserve">Reporting. Instrumentation data submitted to the County shall identify the instrument, </w:t>
      </w:r>
      <w:r>
        <w:rPr>
          <w:rFonts w:ascii="Barlow" w:hAnsi="Barlow" w:cs="Barlow"/>
          <w:b/>
          <w:i w:val="0"/>
          <w:sz w:val="19"/>
        </w:rPr>
        <w:t>its resolution</w:t>
      </w:r>
      <w:r>
        <w:rPr>
          <w:rFonts w:ascii="Barlow" w:hAnsi="Barlow" w:cs="Barlow"/>
          <w:b w:val="0"/>
          <w:i w:val="0"/>
          <w:sz w:val="19"/>
        </w:rPr>
        <w:t>, its calibration date, and any processing applied to the raw readings.</w:t>
      </w:r>
    </w:p>
    <w:p>
      <w:pPr>
        <w:spacing w:before="200" w:after="60" w:line="240" w:lineRule="auto"/>
      </w:pPr>
      <w:r>
        <w:rPr>
          <w:rFonts w:ascii="Barlow Condensed" w:hAnsi="Barlow Condensed" w:cs="Barlow Condensed"/>
          <w:b/>
          <w:i w:val="0"/>
          <w:color w:val="9C4A2F"/>
          <w:sz w:val="23"/>
        </w:rPr>
        <w:t xml:space="preserve">5   </w:t>
      </w:r>
      <w:r>
        <w:rPr>
          <w:rFonts w:ascii="Barlow Condensed" w:hAnsi="Barlow Condensed" w:cs="Barlow Condensed"/>
          <w:b/>
          <w:i w:val="0"/>
          <w:color w:val="9C4A2F"/>
          <w:sz w:val="23"/>
          <w:caps w:val="1"/>
          <w:spacing w:val="12"/>
        </w:rPr>
        <w:t>Documentation and Records</w:t>
      </w:r>
    </w:p>
    <w:p>
      <w:pPr>
        <w:spacing w:before="0" w:after="100" w:line="274" w:lineRule="auto"/>
        <w:ind w:left="605" w:hanging="605"/>
      </w:pPr>
      <w:r>
        <w:rPr>
          <w:rFonts w:ascii="IBM Plex Mono" w:hAnsi="IBM Plex Mono" w:cs="IBM Plex Mono"/>
          <w:b/>
          <w:i w:val="0"/>
          <w:color w:val="2B2F36"/>
          <w:sz w:val="19"/>
        </w:rPr>
        <w:t xml:space="preserve">5.1  </w:t>
      </w:r>
      <w:r>
        <w:rPr>
          <w:rFonts w:ascii="Barlow" w:hAnsi="Barlow" w:cs="Barlow"/>
          <w:b w:val="0"/>
          <w:i w:val="0"/>
          <w:sz w:val="19"/>
        </w:rPr>
        <w:t>Each inspection report shall contain: the date and type of inspection; the team leader and team members; condition ratings with the basis for each; photographs keyed to their locations; any recommended action with a recommended date; and the seal required by 3.2.</w:t>
      </w:r>
    </w:p>
    <w:p>
      <w:pPr>
        <w:spacing w:before="0" w:after="100" w:line="274" w:lineRule="auto"/>
        <w:ind w:left="605" w:hanging="605"/>
      </w:pPr>
      <w:r>
        <w:rPr>
          <w:rFonts w:ascii="IBM Plex Mono" w:hAnsi="IBM Plex Mono" w:cs="IBM Plex Mono"/>
          <w:b/>
          <w:i w:val="0"/>
          <w:color w:val="2B2F36"/>
          <w:sz w:val="19"/>
        </w:rPr>
        <w:t xml:space="preserve">5.2  </w:t>
      </w:r>
      <w:r>
        <w:rPr>
          <w:rFonts w:ascii="Barlow" w:hAnsi="Barlow" w:cs="Barlow"/>
          <w:b w:val="0"/>
          <w:i w:val="0"/>
          <w:sz w:val="19"/>
        </w:rPr>
        <w:t>Reports shall be retained by the County for the service life of the structure.</w:t>
      </w:r>
    </w:p>
    <w:p>
      <w:pPr>
        <w:spacing w:before="0" w:after="100" w:line="274" w:lineRule="auto"/>
        <w:ind w:left="605" w:hanging="605"/>
      </w:pPr>
      <w:r>
        <w:rPr>
          <w:rFonts w:ascii="IBM Plex Mono" w:hAnsi="IBM Plex Mono" w:cs="IBM Plex Mono"/>
          <w:b/>
          <w:i w:val="0"/>
          <w:color w:val="2B2F36"/>
          <w:sz w:val="19"/>
        </w:rPr>
        <w:t xml:space="preserve">5.3  </w:t>
      </w:r>
      <w:r>
        <w:rPr>
          <w:rFonts w:ascii="Barlow" w:hAnsi="Barlow" w:cs="Barlow"/>
          <w:b w:val="0"/>
          <w:i w:val="0"/>
          <w:sz w:val="19"/>
        </w:rPr>
        <w:t>Reports shall be submitted within 60 days of the final day of field work.</w:t>
      </w:r>
    </w:p>
    <w:p>
      <w:pPr>
        <w:spacing w:before="0" w:after="160" w:line="276" w:lineRule="auto"/>
      </w:pPr>
    </w:p>
    <w:p>
      <w:pPr>
        <w:spacing w:before="120" w:after="40" w:line="240" w:lineRule="auto"/>
        <w:pBdr>
          <w:bottom w:val="single" w:sz="6" w:space="4" w:color="9C4A2F"/>
        </w:pBdr>
      </w:pPr>
    </w:p>
    <w:p>
      <w:pPr>
        <w:spacing w:before="0" w:after="40" w:line="276" w:lineRule="auto"/>
      </w:pPr>
      <w:r>
        <w:rPr>
          <w:rFonts w:ascii="Barlow" w:hAnsi="Barlow" w:cs="Barlow"/>
          <w:b w:val="0"/>
          <w:i/>
          <w:color w:val="6B7280"/>
          <w:sz w:val="17"/>
        </w:rPr>
        <w:t>End of specification KC-MB-12 Rev. 3. This document contains Sections 1 through 5 in full. There are no appendices.</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Kinnick County Public Works  ·  114 Court St, Otter Bend, MN</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Pr>
    <w:tblGrid>
      <w:gridCol w:w="4968"/>
      <w:gridCol w:w="4968"/>
    </w:tblGrid>
    <w:tr>
      <w:tc>
        <w:tcPr>
          <w:tcW w:type="dxa" w:w="1080"/>
        </w:tcPr>
        <w:p>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kinnick-county-seal.png"/>
                        <pic:cNvPicPr/>
                      </pic:nvPicPr>
                      <pic:blipFill>
                        <a:blip r:embed="rId1"/>
                        <a:stretch>
                          <a:fillRect/>
                        </a:stretch>
                      </pic:blipFill>
                      <pic:spPr>
                        <a:xfrm>
                          <a:off x="0" y="0"/>
                          <a:ext cx="566928" cy="566928"/>
                        </a:xfrm>
                        <a:prstGeom prst="rect"/>
                      </pic:spPr>
                    </pic:pic>
                  </a:graphicData>
                </a:graphic>
              </wp:inline>
            </w:drawing>
          </w:r>
        </w:p>
      </w:tc>
      <w:tc>
        <w:tcPr>
          <w:tcW w:type="dxa" w:w="8856"/>
        </w:tcPr>
        <w:p>
          <w:pPr>
            <w:spacing w:before="120"/>
          </w:pPr>
          <w:r>
            <w:rPr>
              <w:rFonts w:ascii="Barlow Condensed" w:hAnsi="Barlow Condensed" w:cs="Barlow Condensed"/>
              <w:b/>
              <w:i w:val="0"/>
              <w:color w:val="9C4A2F"/>
              <w:sz w:val="28"/>
              <w:spacing w:val="24"/>
            </w:rPr>
            <w:t>KINNICK COUNTY, MINNESOTA</w:t>
          </w:r>
        </w:p>
        <w:p>
          <w:r>
            <w:rPr>
              <w:rFonts w:ascii="Barlow Condensed" w:hAnsi="Barlow Condensed" w:cs="Barlow Condensed"/>
              <w:b w:val="0"/>
              <w:i w:val="0"/>
              <w:color w:val="6B7280"/>
              <w:sz w:val="18"/>
              <w:caps w:val="1"/>
              <w:spacing w:val="16"/>
            </w:rPr>
            <w:t>Department of Public Works  ·  Bridge Division</w:t>
          </w:r>
        </w:p>
      </w:tc>
    </w:tr>
  </w:tbl>
  <w:p>
    <w:pPr>
      <w:spacing w:before="40" w:after="40"/>
      <w:pBdr>
        <w:bottom w:val="single" w:sz="8" w:space="4" w:color="9C4A2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