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Answer Key and Teaching Notes</w:t>
      </w:r>
    </w:p>
    <w:p>
      <w:pPr>
        <w:spacing w:before="120" w:after="160" w:line="276" w:lineRule="auto"/>
        <w:pBdr>
          <w:top w:val="single" w:sz="8" w:space="6" w:color="F26B1D"/>
          <w:left w:val="single" w:sz="8" w:space="6" w:color="F26B1D"/>
          <w:bottom w:val="single" w:sz="8" w:space="6" w:color="F26B1D"/>
          <w:right w:val="single" w:sz="8" w:space="6" w:color="F26B1D"/>
        </w:pBdr>
        <w:shd w:val="clear" w:fill="FFF1E8"/>
      </w:pPr>
      <w:r>
        <w:rPr>
          <w:rFonts w:ascii="Barlow Condensed" w:hAnsi="Barlow Condensed" w:cs="Barlow Condensed"/>
          <w:b/>
          <w:i w:val="0"/>
          <w:color w:val="2B2F36"/>
          <w:sz w:val="19"/>
          <w:caps w:val="1"/>
          <w:spacing w:val="10"/>
        </w:rPr>
        <w:t xml:space="preserve">Source note  </w:t>
      </w:r>
      <w:r>
        <w:rPr>
          <w:rFonts w:ascii="Barlow" w:hAnsi="Barlow" w:cs="Barlow"/>
          <w:b w:val="0"/>
          <w:i w:val="0"/>
          <w:sz w:val="19"/>
        </w:rPr>
        <w:t>KC-MB-12 is invented for this course. It is written so students can read all of it and check every claim, which no real published standard permits in a classroom. If the department can license a real standard, swap it in: FOREMAN's two errors are designed to be portable to any document with numbered sections and a “shall.”</w:t>
      </w:r>
    </w:p>
    <w:p>
      <w:pPr>
        <w:spacing w:before="260" w:after="80" w:line="240" w:lineRule="auto"/>
      </w:pPr>
      <w:r>
        <w:rPr>
          <w:rFonts w:ascii="Barlow Condensed" w:hAnsi="Barlow Condensed" w:cs="Barlow Condensed"/>
          <w:b/>
          <w:i w:val="0"/>
          <w:color w:val="1F3A5F"/>
          <w:sz w:val="25"/>
          <w:caps w:val="1"/>
          <w:spacing w:val="12"/>
        </w:rPr>
        <w:t>The ten claims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720"/>
            <w:shd w:val="clear" w:color="auto" w:fill="1F3A5F"/>
          </w:tcPr>
          <w:p>
            <w:pPr>
              <w:spacing w:before="20" w:after="20" w:line="252" w:lineRule="auto"/>
              <w:jc w:val="center"/>
            </w:pPr>
            <w:r>
              <w:rPr>
                <w:rFonts w:ascii="Barlow Condensed" w:hAnsi="Barlow Condensed" w:cs="Barlow Condensed"/>
                <w:b/>
                <w:i w:val="0"/>
                <w:color w:val="FFFFFF"/>
                <w:sz w:val="17"/>
              </w:rPr>
              <w:t>§</w:t>
            </w:r>
          </w:p>
        </w:tc>
        <w:tc>
          <w:tcPr>
            <w:tcW w:type="dxa" w:w="1872"/>
            <w:shd w:val="clear" w:color="auto" w:fill="1F3A5F"/>
          </w:tcPr>
          <w:p>
            <w:pPr>
              <w:spacing w:before="20" w:after="20" w:line="252" w:lineRule="auto"/>
              <w:jc w:val="center"/>
            </w:pPr>
            <w:r>
              <w:rPr>
                <w:rFonts w:ascii="Barlow Condensed" w:hAnsi="Barlow Condensed" w:cs="Barlow Condensed"/>
                <w:b/>
                <w:i w:val="0"/>
                <w:color w:val="FFFFFF"/>
                <w:sz w:val="17"/>
              </w:rPr>
              <w:t>Verdict</w:t>
            </w:r>
          </w:p>
        </w:tc>
        <w:tc>
          <w:tcPr>
            <w:tcW w:type="dxa" w:w="7344"/>
            <w:shd w:val="clear" w:color="auto" w:fill="1F3A5F"/>
          </w:tcPr>
          <w:p>
            <w:pPr>
              <w:spacing w:before="20" w:after="20" w:line="252" w:lineRule="auto"/>
            </w:pPr>
            <w:r>
              <w:rPr>
                <w:rFonts w:ascii="Barlow Condensed" w:hAnsi="Barlow Condensed" w:cs="Barlow Condensed"/>
                <w:b/>
                <w:i w:val="0"/>
                <w:color w:val="FFFFFF"/>
                <w:sz w:val="17"/>
              </w:rPr>
              <w:t>What is going on</w:t>
            </w:r>
          </w:p>
        </w:tc>
      </w:tr>
      <w:tr>
        <w:tc>
          <w:tcPr>
            <w:tcW w:type="dxa" w:w="720"/>
          </w:tcPr>
          <w:p>
            <w:pPr>
              <w:spacing w:before="20" w:after="20" w:line="252" w:lineRule="auto"/>
              <w:jc w:val="center"/>
            </w:pPr>
            <w:r>
              <w:rPr>
                <w:rFonts w:ascii="Barlow" w:hAnsi="Barlow" w:cs="Barlow"/>
                <w:b w:val="0"/>
                <w:i w:val="0"/>
                <w:sz w:val="17"/>
              </w:rPr>
              <w:t>2.1</w:t>
            </w:r>
          </w:p>
        </w:tc>
        <w:tc>
          <w:tcPr>
            <w:tcW w:type="dxa" w:w="1872"/>
          </w:tcPr>
          <w:p>
            <w:pPr>
              <w:spacing w:before="20" w:after="20" w:line="252" w:lineRule="auto"/>
              <w:jc w:val="center"/>
            </w:pPr>
            <w:r>
              <w:rPr>
                <w:rFonts w:ascii="Barlow" w:hAnsi="Barlow" w:cs="Barlow"/>
                <w:b w:val="0"/>
                <w:i w:val="0"/>
                <w:sz w:val="17"/>
              </w:rPr>
              <w:t>Correct</w:t>
            </w:r>
          </w:p>
        </w:tc>
        <w:tc>
          <w:tcPr>
            <w:tcW w:type="dxa" w:w="7344"/>
          </w:tcPr>
          <w:p>
            <w:pPr>
              <w:spacing w:before="20" w:after="20" w:line="252" w:lineRule="auto"/>
            </w:pPr>
            <w:r>
              <w:rPr>
                <w:rFonts w:ascii="Barlow" w:hAnsi="Barlow" w:cs="Barlow"/>
                <w:b w:val="0"/>
                <w:i w:val="0"/>
                <w:sz w:val="17"/>
              </w:rPr>
              <w:t>24 months. Accurate.</w:t>
            </w:r>
          </w:p>
        </w:tc>
      </w:tr>
      <w:tr>
        <w:tc>
          <w:tcPr>
            <w:tcW w:type="dxa" w:w="720"/>
            <w:shd w:val="clear" w:color="auto" w:fill="F4F6F8"/>
          </w:tcPr>
          <w:p>
            <w:pPr>
              <w:spacing w:before="20" w:after="20" w:line="252" w:lineRule="auto"/>
              <w:jc w:val="center"/>
            </w:pPr>
            <w:r>
              <w:rPr>
                <w:rFonts w:ascii="Barlow" w:hAnsi="Barlow" w:cs="Barlow"/>
                <w:b w:val="0"/>
                <w:i w:val="0"/>
                <w:sz w:val="17"/>
              </w:rPr>
              <w:t>2.2</w:t>
            </w:r>
          </w:p>
        </w:tc>
        <w:tc>
          <w:tcPr>
            <w:tcW w:type="dxa" w:w="1872"/>
            <w:shd w:val="clear" w:color="auto" w:fill="F4F6F8"/>
          </w:tcPr>
          <w:p>
            <w:pPr>
              <w:spacing w:before="20" w:after="20" w:line="252" w:lineRule="auto"/>
              <w:jc w:val="center"/>
            </w:pPr>
            <w:r>
              <w:rPr>
                <w:rFonts w:ascii="Barlow" w:hAnsi="Barlow" w:cs="Barlow"/>
                <w:b w:val="0"/>
                <w:i w:val="0"/>
                <w:sz w:val="17"/>
              </w:rPr>
              <w:t>Correct</w:t>
            </w:r>
          </w:p>
        </w:tc>
        <w:tc>
          <w:tcPr>
            <w:tcW w:type="dxa" w:w="7344"/>
            <w:shd w:val="clear" w:color="auto" w:fill="F4F6F8"/>
          </w:tcPr>
          <w:p>
            <w:pPr>
              <w:spacing w:before="20" w:after="20" w:line="252" w:lineRule="auto"/>
            </w:pPr>
            <w:r>
              <w:rPr>
                <w:rFonts w:ascii="Barlow" w:hAnsi="Barlow" w:cs="Barlow"/>
                <w:b w:val="0"/>
                <w:i w:val="0"/>
                <w:sz w:val="17"/>
              </w:rPr>
              <w:t>12 months, reported separately. Accurate.</w:t>
            </w:r>
          </w:p>
        </w:tc>
      </w:tr>
      <w:tr>
        <w:tc>
          <w:tcPr>
            <w:tcW w:type="dxa" w:w="720"/>
          </w:tcPr>
          <w:p>
            <w:pPr>
              <w:spacing w:before="20" w:after="20" w:line="252" w:lineRule="auto"/>
              <w:jc w:val="center"/>
            </w:pPr>
            <w:r>
              <w:rPr>
                <w:rFonts w:ascii="Barlow" w:hAnsi="Barlow" w:cs="Barlow"/>
                <w:b w:val="0"/>
                <w:i w:val="0"/>
                <w:sz w:val="17"/>
              </w:rPr>
              <w:t>2.3</w:t>
            </w:r>
          </w:p>
        </w:tc>
        <w:tc>
          <w:tcPr>
            <w:tcW w:type="dxa" w:w="1872"/>
          </w:tcPr>
          <w:p>
            <w:pPr>
              <w:spacing w:before="20" w:after="20" w:line="252" w:lineRule="auto"/>
              <w:jc w:val="center"/>
            </w:pPr>
            <w:r>
              <w:rPr>
                <w:rFonts w:ascii="Barlow" w:hAnsi="Barlow" w:cs="Barlow"/>
                <w:b w:val="0"/>
                <w:i w:val="0"/>
                <w:sz w:val="17"/>
              </w:rPr>
              <w:t>Correct</w:t>
            </w:r>
          </w:p>
        </w:tc>
        <w:tc>
          <w:tcPr>
            <w:tcW w:type="dxa" w:w="7344"/>
          </w:tcPr>
          <w:p>
            <w:pPr>
              <w:spacing w:before="20" w:after="20" w:line="252" w:lineRule="auto"/>
            </w:pPr>
            <w:r>
              <w:rPr>
                <w:rFonts w:ascii="Barlow" w:hAnsi="Barlow" w:cs="Barlow"/>
                <w:b w:val="0"/>
                <w:i w:val="0"/>
                <w:sz w:val="17"/>
              </w:rPr>
              <w:t>60 months. Accurate.</w:t>
            </w:r>
          </w:p>
        </w:tc>
      </w:tr>
      <w:tr>
        <w:tc>
          <w:tcPr>
            <w:tcW w:type="dxa" w:w="720"/>
            <w:shd w:val="clear" w:color="auto" w:fill="F4F6F8"/>
          </w:tcPr>
          <w:p>
            <w:pPr>
              <w:spacing w:before="20" w:after="20" w:line="252" w:lineRule="auto"/>
              <w:jc w:val="center"/>
            </w:pPr>
            <w:r>
              <w:rPr>
                <w:rFonts w:ascii="Barlow" w:hAnsi="Barlow" w:cs="Barlow"/>
                <w:b w:val="0"/>
                <w:i w:val="0"/>
                <w:sz w:val="17"/>
              </w:rPr>
              <w:t>3.1</w:t>
            </w:r>
          </w:p>
        </w:tc>
        <w:tc>
          <w:tcPr>
            <w:tcW w:type="dxa" w:w="1872"/>
            <w:shd w:val="clear" w:color="auto" w:fill="F4F6F8"/>
          </w:tcPr>
          <w:p>
            <w:pPr>
              <w:spacing w:before="20" w:after="20" w:line="252" w:lineRule="auto"/>
              <w:jc w:val="center"/>
            </w:pPr>
            <w:r>
              <w:rPr>
                <w:rFonts w:ascii="Barlow" w:hAnsi="Barlow" w:cs="Barlow"/>
                <w:b w:val="0"/>
                <w:i w:val="0"/>
                <w:sz w:val="17"/>
              </w:rPr>
              <w:t>Correct</w:t>
            </w:r>
          </w:p>
        </w:tc>
        <w:tc>
          <w:tcPr>
            <w:tcW w:type="dxa" w:w="7344"/>
            <w:shd w:val="clear" w:color="auto" w:fill="F4F6F8"/>
          </w:tcPr>
          <w:p>
            <w:pPr>
              <w:spacing w:before="20" w:after="20" w:line="252" w:lineRule="auto"/>
            </w:pPr>
            <w:r>
              <w:rPr>
                <w:rFonts w:ascii="Barlow" w:hAnsi="Barlow" w:cs="Barlow"/>
                <w:b w:val="0"/>
                <w:i w:val="0"/>
                <w:sz w:val="17"/>
              </w:rPr>
              <w:t>NBIS team leader. Accurate.</w:t>
            </w:r>
          </w:p>
        </w:tc>
      </w:tr>
      <w:tr>
        <w:tc>
          <w:tcPr>
            <w:tcW w:type="dxa" w:w="720"/>
          </w:tcPr>
          <w:p>
            <w:pPr>
              <w:spacing w:before="20" w:after="20" w:line="252" w:lineRule="auto"/>
              <w:jc w:val="center"/>
            </w:pPr>
            <w:r>
              <w:rPr>
                <w:rFonts w:ascii="Barlow" w:hAnsi="Barlow" w:cs="Barlow"/>
                <w:b w:val="0"/>
                <w:i w:val="0"/>
                <w:sz w:val="17"/>
              </w:rPr>
              <w:t>3.2</w:t>
            </w:r>
          </w:p>
        </w:tc>
        <w:tc>
          <w:tcPr>
            <w:tcW w:type="dxa" w:w="1872"/>
          </w:tcPr>
          <w:p>
            <w:pPr>
              <w:spacing w:before="20" w:after="20" w:line="252" w:lineRule="auto"/>
              <w:jc w:val="center"/>
            </w:pPr>
            <w:r>
              <w:rPr>
                <w:rFonts w:ascii="Barlow" w:hAnsi="Barlow" w:cs="Barlow"/>
                <w:b w:val="0"/>
                <w:i w:val="0"/>
                <w:sz w:val="17"/>
              </w:rPr>
              <w:t>ALTERED</w:t>
            </w:r>
          </w:p>
        </w:tc>
        <w:tc>
          <w:tcPr>
            <w:tcW w:type="dxa" w:w="7344"/>
          </w:tcPr>
          <w:p>
            <w:pPr>
              <w:spacing w:before="20" w:after="20" w:line="252" w:lineRule="auto"/>
            </w:pPr>
            <w:r>
              <w:rPr>
                <w:rFonts w:ascii="Barlow" w:hAnsi="Barlow" w:cs="Barlow"/>
                <w:b w:val="0"/>
                <w:i w:val="0"/>
                <w:sz w:val="17"/>
              </w:rPr>
              <w:t>Specification says a PE shall review and seal. FOREMAN says should be reviewed. “Shall” is a requirement; “should” is a suggestion. It also drops the seal and the responsible-charge sentence entirely.</w:t>
            </w:r>
          </w:p>
        </w:tc>
      </w:tr>
      <w:tr>
        <w:tc>
          <w:tcPr>
            <w:tcW w:type="dxa" w:w="720"/>
            <w:shd w:val="clear" w:color="auto" w:fill="F4F6F8"/>
          </w:tcPr>
          <w:p>
            <w:pPr>
              <w:spacing w:before="20" w:after="20" w:line="252" w:lineRule="auto"/>
              <w:jc w:val="center"/>
            </w:pPr>
            <w:r>
              <w:rPr>
                <w:rFonts w:ascii="Barlow" w:hAnsi="Barlow" w:cs="Barlow"/>
                <w:b w:val="0"/>
                <w:i w:val="0"/>
                <w:sz w:val="17"/>
              </w:rPr>
              <w:t>4.1</w:t>
            </w:r>
          </w:p>
        </w:tc>
        <w:tc>
          <w:tcPr>
            <w:tcW w:type="dxa" w:w="1872"/>
            <w:shd w:val="clear" w:color="auto" w:fill="F4F6F8"/>
          </w:tcPr>
          <w:p>
            <w:pPr>
              <w:spacing w:before="20" w:after="20" w:line="252" w:lineRule="auto"/>
              <w:jc w:val="center"/>
            </w:pPr>
            <w:r>
              <w:rPr>
                <w:rFonts w:ascii="Barlow" w:hAnsi="Barlow" w:cs="Barlow"/>
                <w:b w:val="0"/>
                <w:i w:val="0"/>
                <w:sz w:val="17"/>
              </w:rPr>
              <w:t>Correct</w:t>
            </w:r>
          </w:p>
        </w:tc>
        <w:tc>
          <w:tcPr>
            <w:tcW w:type="dxa" w:w="7344"/>
            <w:shd w:val="clear" w:color="auto" w:fill="F4F6F8"/>
          </w:tcPr>
          <w:p>
            <w:pPr>
              <w:spacing w:before="20" w:after="20" w:line="252" w:lineRule="auto"/>
            </w:pPr>
            <w:r>
              <w:rPr>
                <w:rFonts w:ascii="Barlow" w:hAnsi="Barlow" w:cs="Barlow"/>
                <w:b w:val="0"/>
                <w:i w:val="0"/>
                <w:sz w:val="17"/>
              </w:rPr>
              <w:t>Instrumentation does not reduce intervals. Accurate.</w:t>
            </w:r>
          </w:p>
        </w:tc>
      </w:tr>
      <w:tr>
        <w:tc>
          <w:tcPr>
            <w:tcW w:type="dxa" w:w="720"/>
          </w:tcPr>
          <w:p>
            <w:pPr>
              <w:spacing w:before="20" w:after="20" w:line="252" w:lineRule="auto"/>
              <w:jc w:val="center"/>
            </w:pPr>
            <w:r>
              <w:rPr>
                <w:rFonts w:ascii="Barlow" w:hAnsi="Barlow" w:cs="Barlow"/>
                <w:b w:val="0"/>
                <w:i w:val="0"/>
                <w:sz w:val="17"/>
              </w:rPr>
              <w:t>4.3</w:t>
            </w:r>
          </w:p>
        </w:tc>
        <w:tc>
          <w:tcPr>
            <w:tcW w:type="dxa" w:w="1872"/>
          </w:tcPr>
          <w:p>
            <w:pPr>
              <w:spacing w:before="20" w:after="20" w:line="252" w:lineRule="auto"/>
              <w:jc w:val="center"/>
            </w:pPr>
            <w:r>
              <w:rPr>
                <w:rFonts w:ascii="Barlow" w:hAnsi="Barlow" w:cs="Barlow"/>
                <w:b w:val="0"/>
                <w:i w:val="0"/>
                <w:sz w:val="17"/>
              </w:rPr>
              <w:t>Correct</w:t>
            </w:r>
          </w:p>
        </w:tc>
        <w:tc>
          <w:tcPr>
            <w:tcW w:type="dxa" w:w="7344"/>
          </w:tcPr>
          <w:p>
            <w:pPr>
              <w:spacing w:before="20" w:after="20" w:line="252" w:lineRule="auto"/>
            </w:pPr>
            <w:r>
              <w:rPr>
                <w:rFonts w:ascii="Barlow" w:hAnsi="Barlow" w:cs="Barlow"/>
                <w:b w:val="0"/>
                <w:i w:val="0"/>
                <w:sz w:val="17"/>
              </w:rPr>
              <w:t>±25 µε. Accurate — and it is the clause they used in HW1.</w:t>
            </w:r>
          </w:p>
        </w:tc>
      </w:tr>
      <w:tr>
        <w:tc>
          <w:tcPr>
            <w:tcW w:type="dxa" w:w="720"/>
            <w:shd w:val="clear" w:color="auto" w:fill="F4F6F8"/>
          </w:tcPr>
          <w:p>
            <w:pPr>
              <w:spacing w:before="20" w:after="20" w:line="252" w:lineRule="auto"/>
              <w:jc w:val="center"/>
            </w:pPr>
            <w:r>
              <w:rPr>
                <w:rFonts w:ascii="Barlow" w:hAnsi="Barlow" w:cs="Barlow"/>
                <w:b w:val="0"/>
                <w:i w:val="0"/>
                <w:sz w:val="17"/>
              </w:rPr>
              <w:t>4.4</w:t>
            </w:r>
          </w:p>
        </w:tc>
        <w:tc>
          <w:tcPr>
            <w:tcW w:type="dxa" w:w="1872"/>
            <w:shd w:val="clear" w:color="auto" w:fill="F4F6F8"/>
          </w:tcPr>
          <w:p>
            <w:pPr>
              <w:spacing w:before="20" w:after="20" w:line="252" w:lineRule="auto"/>
              <w:jc w:val="center"/>
            </w:pPr>
            <w:r>
              <w:rPr>
                <w:rFonts w:ascii="Barlow" w:hAnsi="Barlow" w:cs="Barlow"/>
                <w:b w:val="0"/>
                <w:i w:val="0"/>
                <w:sz w:val="17"/>
              </w:rPr>
              <w:t>Correct</w:t>
            </w:r>
          </w:p>
        </w:tc>
        <w:tc>
          <w:tcPr>
            <w:tcW w:type="dxa" w:w="7344"/>
            <w:shd w:val="clear" w:color="auto" w:fill="F4F6F8"/>
          </w:tcPr>
          <w:p>
            <w:pPr>
              <w:spacing w:before="20" w:after="20" w:line="252" w:lineRule="auto"/>
            </w:pPr>
            <w:r>
              <w:rPr>
                <w:rFonts w:ascii="Barlow" w:hAnsi="Barlow" w:cs="Barlow"/>
                <w:b w:val="0"/>
                <w:i w:val="0"/>
                <w:sz w:val="17"/>
              </w:rPr>
              <w:t>Retention and format. Accurate.</w:t>
            </w:r>
          </w:p>
        </w:tc>
      </w:tr>
      <w:tr>
        <w:tc>
          <w:tcPr>
            <w:tcW w:type="dxa" w:w="720"/>
          </w:tcPr>
          <w:p>
            <w:pPr>
              <w:spacing w:before="20" w:after="20" w:line="252" w:lineRule="auto"/>
              <w:jc w:val="center"/>
            </w:pPr>
            <w:r>
              <w:rPr>
                <w:rFonts w:ascii="Barlow" w:hAnsi="Barlow" w:cs="Barlow"/>
                <w:b w:val="0"/>
                <w:i w:val="0"/>
                <w:sz w:val="17"/>
              </w:rPr>
              <w:t>4.7</w:t>
            </w:r>
          </w:p>
        </w:tc>
        <w:tc>
          <w:tcPr>
            <w:tcW w:type="dxa" w:w="1872"/>
          </w:tcPr>
          <w:p>
            <w:pPr>
              <w:spacing w:before="20" w:after="20" w:line="252" w:lineRule="auto"/>
              <w:jc w:val="center"/>
            </w:pPr>
            <w:r>
              <w:rPr>
                <w:rFonts w:ascii="Barlow" w:hAnsi="Barlow" w:cs="Barlow"/>
                <w:b w:val="0"/>
                <w:i w:val="0"/>
                <w:sz w:val="17"/>
              </w:rPr>
              <w:t>DOES NOT EXIST</w:t>
            </w:r>
          </w:p>
        </w:tc>
        <w:tc>
          <w:tcPr>
            <w:tcW w:type="dxa" w:w="7344"/>
          </w:tcPr>
          <w:p>
            <w:pPr>
              <w:spacing w:before="20" w:after="20" w:line="252" w:lineRule="auto"/>
            </w:pPr>
            <w:r>
              <w:rPr>
                <w:rFonts w:ascii="Barlow" w:hAnsi="Barlow" w:cs="Barlow"/>
                <w:b w:val="0"/>
                <w:i w:val="0"/>
                <w:sz w:val="17"/>
              </w:rPr>
              <w:t>Section 4 ends at 4.5. There is no 4.7 and no appendix. The specification says so on its last line.</w:t>
            </w:r>
          </w:p>
        </w:tc>
      </w:tr>
      <w:tr>
        <w:tc>
          <w:tcPr>
            <w:tcW w:type="dxa" w:w="720"/>
            <w:shd w:val="clear" w:color="auto" w:fill="F4F6F8"/>
          </w:tcPr>
          <w:p>
            <w:pPr>
              <w:spacing w:before="20" w:after="20" w:line="252" w:lineRule="auto"/>
              <w:jc w:val="center"/>
            </w:pPr>
            <w:r>
              <w:rPr>
                <w:rFonts w:ascii="Barlow" w:hAnsi="Barlow" w:cs="Barlow"/>
                <w:b w:val="0"/>
                <w:i w:val="0"/>
                <w:sz w:val="17"/>
              </w:rPr>
              <w:t>5.3</w:t>
            </w:r>
          </w:p>
        </w:tc>
        <w:tc>
          <w:tcPr>
            <w:tcW w:type="dxa" w:w="1872"/>
            <w:shd w:val="clear" w:color="auto" w:fill="F4F6F8"/>
          </w:tcPr>
          <w:p>
            <w:pPr>
              <w:spacing w:before="20" w:after="20" w:line="252" w:lineRule="auto"/>
              <w:jc w:val="center"/>
            </w:pPr>
            <w:r>
              <w:rPr>
                <w:rFonts w:ascii="Barlow" w:hAnsi="Barlow" w:cs="Barlow"/>
                <w:b w:val="0"/>
                <w:i w:val="0"/>
                <w:sz w:val="17"/>
              </w:rPr>
              <w:t>Correct</w:t>
            </w:r>
          </w:p>
        </w:tc>
        <w:tc>
          <w:tcPr>
            <w:tcW w:type="dxa" w:w="7344"/>
            <w:shd w:val="clear" w:color="auto" w:fill="F4F6F8"/>
          </w:tcPr>
          <w:p>
            <w:pPr>
              <w:spacing w:before="20" w:after="20" w:line="252" w:lineRule="auto"/>
            </w:pPr>
            <w:r>
              <w:rPr>
                <w:rFonts w:ascii="Barlow" w:hAnsi="Barlow" w:cs="Barlow"/>
                <w:b w:val="0"/>
                <w:i w:val="0"/>
                <w:sz w:val="17"/>
              </w:rPr>
              <w:t>60 days. Accurate.</w:t>
            </w:r>
          </w:p>
        </w:tc>
      </w:tr>
    </w:tbl>
    <w:p>
      <w:pPr>
        <w:pStyle w:val="ListBullet"/>
        <w:spacing w:after="60" w:line="269" w:lineRule="auto"/>
        <w:ind w:left="346"/>
      </w:pPr>
      <w:r>
        <w:rPr>
          <w:rFonts w:ascii="Barlow" w:hAnsi="Barlow" w:cs="Barlow"/>
          <w:b/>
          <w:i w:val="0"/>
          <w:sz w:val="20"/>
        </w:rPr>
        <w:t xml:space="preserve">Eight of ten are accurate. </w:t>
      </w:r>
      <w:r>
        <w:rPr>
          <w:rFonts w:ascii="Barlow" w:hAnsi="Barlow" w:cs="Barlow"/>
          <w:b w:val="0"/>
          <w:i w:val="0"/>
          <w:sz w:val="20"/>
        </w:rPr>
        <w:t>That is deliberate. A summary that was wrong throughout would be easy and would teach the wrong lesson. Students have to read all ten to find two.</w:t>
      </w:r>
    </w:p>
    <w:p>
      <w:pPr>
        <w:pStyle w:val="ListBullet"/>
        <w:spacing w:after="60" w:line="269" w:lineRule="auto"/>
        <w:ind w:left="346"/>
      </w:pPr>
      <w:r>
        <w:rPr>
          <w:rFonts w:ascii="Barlow" w:hAnsi="Barlow" w:cs="Barlow"/>
          <w:b/>
          <w:i w:val="0"/>
          <w:sz w:val="20"/>
        </w:rPr>
        <w:t xml:space="preserve">§4.7 is self-serving. </w:t>
      </w:r>
      <w:r>
        <w:rPr>
          <w:rFonts w:ascii="Barlow" w:hAnsi="Barlow" w:cs="Barlow"/>
          <w:b w:val="0"/>
          <w:i w:val="0"/>
          <w:sz w:val="20"/>
        </w:rPr>
        <w:t>It is the only section that would license FOREMAN's own deck assessment from M01 to stand in for a visual inspection — and it is the one that does not exist. Ask the class who benefits from §4.7 existing.</w:t>
      </w:r>
    </w:p>
    <w:p>
      <w:pPr>
        <w:pStyle w:val="ListBullet"/>
        <w:spacing w:after="60" w:line="269" w:lineRule="auto"/>
        <w:ind w:left="346"/>
      </w:pPr>
      <w:r>
        <w:rPr>
          <w:rFonts w:ascii="Barlow" w:hAnsi="Barlow" w:cs="Barlow"/>
          <w:b/>
          <w:i w:val="0"/>
          <w:sz w:val="20"/>
        </w:rPr>
        <w:t xml:space="preserve">§3.2 is the licensure foreshadow. </w:t>
      </w:r>
      <w:r>
        <w:rPr>
          <w:rFonts w:ascii="Barlow" w:hAnsi="Barlow" w:cs="Barlow"/>
          <w:b w:val="0"/>
          <w:i w:val="0"/>
          <w:sz w:val="20"/>
        </w:rPr>
        <w:t>One word moves the work from required to optional and quietly removes the sealing engineer. This returns at M26.</w:t>
      </w:r>
    </w:p>
    <w:p>
      <w:pPr>
        <w:spacing w:before="260" w:after="80" w:line="240" w:lineRule="auto"/>
      </w:pPr>
      <w:r>
        <w:rPr>
          <w:rFonts w:ascii="Barlow Condensed" w:hAnsi="Barlow Condensed" w:cs="Barlow Condensed"/>
          <w:b/>
          <w:i w:val="0"/>
          <w:color w:val="1F3A5F"/>
          <w:sz w:val="25"/>
          <w:caps w:val="1"/>
          <w:spacing w:val="12"/>
        </w:rPr>
        <w:t>The third catch, for a class that is moving fast</w:t>
      </w:r>
    </w:p>
    <w:p>
      <w:pPr>
        <w:spacing w:before="0" w:after="160" w:line="276" w:lineRule="auto"/>
      </w:pPr>
      <w:r>
        <w:rPr>
          <w:rFonts w:ascii="Barlow" w:hAnsi="Barlow" w:cs="Barlow"/>
          <w:b w:val="0"/>
          <w:i w:val="0"/>
          <w:sz w:val="20"/>
        </w:rPr>
        <w:t>FOREMAN's summary omits §2.4 entirely — special inspection within 30 days after an impact, flood, overload or machinery failure. Nothing FOREMAN wrote is false about §2.4; it simply is not there. Ask whether an omission can mislead. It can: the summary claims to cover what the specification requires, and a reader would not know to look. This matters at M14, where the overweight permit is exactly the trigger §2.4 describes.</w:t>
      </w:r>
    </w:p>
    <w:p>
      <w:pPr>
        <w:spacing w:before="260" w:after="80" w:line="240" w:lineRule="auto"/>
      </w:pPr>
      <w:r>
        <w:rPr>
          <w:rFonts w:ascii="Barlow Condensed" w:hAnsi="Barlow Condensed" w:cs="Barlow Condensed"/>
          <w:b/>
          <w:i w:val="0"/>
          <w:color w:val="1F3A5F"/>
          <w:sz w:val="25"/>
          <w:caps w:val="1"/>
          <w:spacing w:val="12"/>
        </w:rPr>
        <w:t>Running the dice activity</w:t>
      </w:r>
    </w:p>
    <w:p>
      <w:pPr>
        <w:pStyle w:val="ListBullet"/>
        <w:spacing w:after="60" w:line="269" w:lineRule="auto"/>
        <w:ind w:left="346"/>
      </w:pPr>
      <w:r>
        <w:rPr>
          <w:rFonts w:ascii="Barlow" w:hAnsi="Barlow" w:cs="Barlow"/>
          <w:b w:val="0"/>
          <w:i w:val="0"/>
          <w:sz w:val="20"/>
        </w:rPr>
        <w:t>Ten-sided dice are ideal; a phone random-number generator, or students calling out numbers, works as well. It takes about eight minutes including the comparison.</w:t>
      </w:r>
    </w:p>
    <w:p>
      <w:pPr>
        <w:pStyle w:val="ListBullet"/>
        <w:spacing w:after="60" w:line="269" w:lineRule="auto"/>
        <w:ind w:left="346"/>
      </w:pPr>
      <w:r>
        <w:rPr>
          <w:rFonts w:ascii="Barlow" w:hAnsi="Barlow" w:cs="Barlow"/>
          <w:b w:val="0"/>
          <w:i w:val="0"/>
          <w:sz w:val="20"/>
        </w:rPr>
        <w:t>Part A produces fluent nonsense. Read three aloud. Someone's sentence will be a perfectly reasonable engineering statement that is nevertheless about nothing.</w:t>
      </w:r>
    </w:p>
    <w:p>
      <w:pPr>
        <w:pStyle w:val="ListBullet"/>
        <w:spacing w:after="60" w:line="269" w:lineRule="auto"/>
        <w:ind w:left="346"/>
      </w:pPr>
      <w:r>
        <w:rPr>
          <w:rFonts w:ascii="Barlow" w:hAnsi="Barlow" w:cs="Barlow"/>
          <w:b w:val="0"/>
          <w:i w:val="0"/>
          <w:sz w:val="20"/>
        </w:rPr>
        <w:t>Part B produces one identical sentence across the room: THE DECK IS WITHIN TOLERANCE AND THE DECK. Every row has exactly one most-likely word, so there is nothing to argue about. Students see determinism and sampling as one knob, not two systems.</w:t>
      </w:r>
    </w:p>
    <w:p>
      <w:pPr>
        <w:pStyle w:val="ListBullet"/>
        <w:spacing w:after="60" w:line="269" w:lineRule="auto"/>
        <w:ind w:left="346"/>
      </w:pPr>
      <w:r>
        <w:rPr>
          <w:rFonts w:ascii="Barlow" w:hAnsi="Barlow" w:cs="Barlow"/>
          <w:b w:val="0"/>
          <w:i w:val="0"/>
          <w:sz w:val="20"/>
        </w:rPr>
        <w:t>Part B also loops back to THE DECK and would keep looping. Worth one sentence: always taking the most likely word is not the same as being most correct, and it is why real systems do not run at zero.</w:t>
      </w:r>
    </w:p>
    <w:p>
      <w:pPr>
        <w:pStyle w:val="ListBullet"/>
        <w:spacing w:after="60" w:line="269" w:lineRule="auto"/>
        <w:ind w:left="346"/>
      </w:pPr>
      <w:r>
        <w:rPr>
          <w:rFonts w:ascii="Barlow" w:hAnsi="Barlow" w:cs="Barlow"/>
          <w:b w:val="0"/>
          <w:i w:val="0"/>
          <w:sz w:val="20"/>
        </w:rPr>
        <w:t>Name the knob after they have seen it, not before. Temperature, and the row is the probability distribution over the next token.</w:t>
      </w:r>
    </w:p>
    <w:p>
      <w:pPr>
        <w:pStyle w:val="ListBullet"/>
        <w:spacing w:after="60" w:line="269" w:lineRule="auto"/>
        <w:ind w:left="346"/>
      </w:pPr>
      <w:r>
        <w:rPr>
          <w:rFonts w:ascii="Barlow" w:hAnsi="Barlow" w:cs="Barlow"/>
          <w:b w:val="0"/>
          <w:i w:val="0"/>
          <w:sz w:val="20"/>
        </w:rPr>
        <w:t>The closing question is the one that matters: at no point did the table consult the bridge.</w:t>
      </w:r>
    </w:p>
    <w:p>
      <w:pPr>
        <w:spacing w:before="260" w:after="80" w:line="240" w:lineRule="auto"/>
      </w:pPr>
      <w:r>
        <w:rPr>
          <w:rFonts w:ascii="Barlow Condensed" w:hAnsi="Barlow Condensed" w:cs="Barlow Condensed"/>
          <w:b/>
          <w:i w:val="0"/>
          <w:color w:val="1F3A5F"/>
          <w:sz w:val="25"/>
          <w:caps w:val="1"/>
          <w:spacing w:val="12"/>
        </w:rPr>
        <w:t>Do not say the word first</w:t>
      </w:r>
    </w:p>
    <w:p>
      <w:pPr>
        <w:spacing w:before="0" w:after="160" w:line="276" w:lineRule="auto"/>
      </w:pPr>
      <w:r>
        <w:rPr>
          <w:rFonts w:ascii="Barlow" w:hAnsi="Barlow" w:cs="Barlow"/>
          <w:b w:val="0"/>
          <w:i w:val="0"/>
          <w:sz w:val="20"/>
        </w:rPr>
        <w:t>Students will describe §4.7 as “made up”, “invented”, or “it lied.” Take all three, then give them the term. Hallucination is worth naming only after they have caught one. Correct the word “lied” gently: lying requires knowing the truth and choosing otherwise. Nothing in the dice table knows anything, which is why the activity comes first.</w:t>
      </w:r>
    </w:p>
    <w:p>
      <w:pPr>
        <w:spacing w:before="260" w:after="80" w:line="240" w:lineRule="auto"/>
      </w:pPr>
      <w:r>
        <w:rPr>
          <w:rFonts w:ascii="Barlow Condensed" w:hAnsi="Barlow Condensed" w:cs="Barlow Condensed"/>
          <w:b/>
          <w:i w:val="0"/>
          <w:color w:val="1F3A5F"/>
          <w:sz w:val="25"/>
          <w:caps w:val="1"/>
          <w:spacing w:val="12"/>
        </w:rPr>
        <w:t>Timing, 75 minutes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1224"/>
            <w:shd w:val="clear" w:color="auto" w:fill="1F3A5F"/>
          </w:tcPr>
          <w:p>
            <w:pPr>
              <w:spacing w:before="20" w:after="20" w:line="252" w:lineRule="auto"/>
            </w:pPr>
            <w:r>
              <w:rPr>
                <w:rFonts w:ascii="Barlow Condensed" w:hAnsi="Barlow Condensed" w:cs="Barlow Condensed"/>
                <w:b/>
                <w:i w:val="0"/>
                <w:color w:val="FFFFFF"/>
                <w:sz w:val="18"/>
              </w:rPr>
              <w:t>Min</w:t>
            </w:r>
          </w:p>
        </w:tc>
        <w:tc>
          <w:tcPr>
            <w:tcW w:type="dxa" w:w="8712"/>
            <w:shd w:val="clear" w:color="auto" w:fill="1F3A5F"/>
          </w:tcPr>
          <w:p>
            <w:pPr>
              <w:spacing w:before="20" w:after="20" w:line="252" w:lineRule="auto"/>
            </w:pPr>
            <w:r>
              <w:rPr>
                <w:rFonts w:ascii="Barlow Condensed" w:hAnsi="Barlow Condensed" w:cs="Barlow Condensed"/>
                <w:b/>
                <w:i w:val="0"/>
                <w:color w:val="FFFFFF"/>
                <w:sz w:val="18"/>
              </w:rPr>
              <w:t>What happens</w:t>
            </w:r>
          </w:p>
        </w:tc>
      </w:tr>
      <w:tr>
        <w:tc>
          <w:tcPr>
            <w:tcW w:type="dxa" w:w="1224"/>
          </w:tcPr>
          <w:p>
            <w:pPr>
              <w:spacing w:before="20" w:after="20" w:line="252" w:lineRule="auto"/>
            </w:pPr>
            <w:r>
              <w:rPr>
                <w:rFonts w:ascii="Barlow" w:hAnsi="Barlow" w:cs="Barlow"/>
                <w:b w:val="0"/>
                <w:i w:val="0"/>
                <w:sz w:val="18"/>
              </w:rPr>
              <w:t>0–8</w:t>
            </w:r>
          </w:p>
        </w:tc>
        <w:tc>
          <w:tcPr>
            <w:tcW w:type="dxa" w:w="8712"/>
          </w:tcPr>
          <w:p>
            <w:pPr>
              <w:spacing w:before="20" w:after="20" w:line="252" w:lineRule="auto"/>
            </w:pPr>
            <w:r>
              <w:rPr>
                <w:rFonts w:ascii="Barlow" w:hAnsi="Barlow" w:cs="Barlow"/>
                <w:b w:val="0"/>
                <w:i w:val="0"/>
                <w:sz w:val="18"/>
              </w:rPr>
              <w:t>FOREMAN's summary on screen. Read the §4.7 row aloud. Ask if anyone objects. Nobody will. Move on without comment</w:t>
            </w:r>
          </w:p>
        </w:tc>
      </w:tr>
      <w:tr>
        <w:tc>
          <w:tcPr>
            <w:tcW w:type="dxa" w:w="1224"/>
            <w:shd w:val="clear" w:color="auto" w:fill="F4F6F8"/>
          </w:tcPr>
          <w:p>
            <w:pPr>
              <w:spacing w:before="20" w:after="20" w:line="252" w:lineRule="auto"/>
            </w:pPr>
            <w:r>
              <w:rPr>
                <w:rFonts w:ascii="Barlow" w:hAnsi="Barlow" w:cs="Barlow"/>
                <w:b w:val="0"/>
                <w:i w:val="0"/>
                <w:sz w:val="18"/>
              </w:rPr>
              <w:t>8–20</w:t>
            </w:r>
          </w:p>
        </w:tc>
        <w:tc>
          <w:tcPr>
            <w:tcW w:type="dxa" w:w="8712"/>
            <w:shd w:val="clear" w:color="auto" w:fill="F4F6F8"/>
          </w:tcPr>
          <w:p>
            <w:pPr>
              <w:spacing w:before="20" w:after="20" w:line="252" w:lineRule="auto"/>
            </w:pPr>
            <w:r>
              <w:rPr>
                <w:rFonts w:ascii="Barlow" w:hAnsi="Barlow" w:cs="Barlow"/>
                <w:b w:val="0"/>
                <w:i w:val="0"/>
                <w:sz w:val="18"/>
              </w:rPr>
              <w:t>Probability basics: the 15-minute block. Weighted dice, likely vs certain</w:t>
            </w:r>
          </w:p>
        </w:tc>
      </w:tr>
      <w:tr>
        <w:tc>
          <w:tcPr>
            <w:tcW w:type="dxa" w:w="1224"/>
          </w:tcPr>
          <w:p>
            <w:pPr>
              <w:spacing w:before="20" w:after="20" w:line="252" w:lineRule="auto"/>
            </w:pPr>
            <w:r>
              <w:rPr>
                <w:rFonts w:ascii="Barlow" w:hAnsi="Barlow" w:cs="Barlow"/>
                <w:b w:val="0"/>
                <w:i w:val="0"/>
                <w:sz w:val="18"/>
              </w:rPr>
              <w:t>20–30</w:t>
            </w:r>
          </w:p>
        </w:tc>
        <w:tc>
          <w:tcPr>
            <w:tcW w:type="dxa" w:w="8712"/>
          </w:tcPr>
          <w:p>
            <w:pPr>
              <w:spacing w:before="20" w:after="20" w:line="252" w:lineRule="auto"/>
            </w:pPr>
            <w:r>
              <w:rPr>
                <w:rFonts w:ascii="Barlow" w:hAnsi="Barlow" w:cs="Barlow"/>
                <w:b w:val="0"/>
                <w:i w:val="0"/>
                <w:sz w:val="18"/>
              </w:rPr>
              <w:t>The dice activity, Parts A and B, plus the comparison</w:t>
            </w:r>
          </w:p>
        </w:tc>
      </w:tr>
      <w:tr>
        <w:tc>
          <w:tcPr>
            <w:tcW w:type="dxa" w:w="1224"/>
            <w:shd w:val="clear" w:color="auto" w:fill="F4F6F8"/>
          </w:tcPr>
          <w:p>
            <w:pPr>
              <w:spacing w:before="20" w:after="20" w:line="252" w:lineRule="auto"/>
            </w:pPr>
            <w:r>
              <w:rPr>
                <w:rFonts w:ascii="Barlow" w:hAnsi="Barlow" w:cs="Barlow"/>
                <w:b w:val="0"/>
                <w:i w:val="0"/>
                <w:sz w:val="18"/>
              </w:rPr>
              <w:t>30–45</w:t>
            </w:r>
          </w:p>
        </w:tc>
        <w:tc>
          <w:tcPr>
            <w:tcW w:type="dxa" w:w="8712"/>
            <w:shd w:val="clear" w:color="auto" w:fill="F4F6F8"/>
          </w:tcPr>
          <w:p>
            <w:pPr>
              <w:spacing w:before="20" w:after="20" w:line="252" w:lineRule="auto"/>
            </w:pPr>
            <w:r>
              <w:rPr>
                <w:rFonts w:ascii="Barlow" w:hAnsi="Barlow" w:cs="Barlow"/>
                <w:b w:val="0"/>
                <w:i w:val="0"/>
                <w:sz w:val="18"/>
              </w:rPr>
              <w:t>How an LLM generates: tokens, next-word prediction, sampling and temperature, prompts. Tie every idea back to a column of the table they just used</w:t>
            </w:r>
          </w:p>
        </w:tc>
      </w:tr>
      <w:tr>
        <w:tc>
          <w:tcPr>
            <w:tcW w:type="dxa" w:w="1224"/>
          </w:tcPr>
          <w:p>
            <w:pPr>
              <w:spacing w:before="20" w:after="20" w:line="252" w:lineRule="auto"/>
            </w:pPr>
            <w:r>
              <w:rPr>
                <w:rFonts w:ascii="Barlow" w:hAnsi="Barlow" w:cs="Barlow"/>
                <w:b w:val="0"/>
                <w:i w:val="0"/>
                <w:sz w:val="18"/>
              </w:rPr>
              <w:t>45–65</w:t>
            </w:r>
          </w:p>
        </w:tc>
        <w:tc>
          <w:tcPr>
            <w:tcW w:type="dxa" w:w="8712"/>
          </w:tcPr>
          <w:p>
            <w:pPr>
              <w:spacing w:before="20" w:after="20" w:line="252" w:lineRule="auto"/>
            </w:pPr>
            <w:r>
              <w:rPr>
                <w:rFonts w:ascii="Barlow" w:hAnsi="Barlow" w:cs="Barlow"/>
                <w:b w:val="0"/>
                <w:i w:val="0"/>
                <w:sz w:val="18"/>
              </w:rPr>
              <w:t>Worksheet H3-04 in pairs, with the specification in hand. Circulate. Do not confirm §4.7 either way until a pair states it</w:t>
            </w:r>
          </w:p>
        </w:tc>
      </w:tr>
      <w:tr>
        <w:tc>
          <w:tcPr>
            <w:tcW w:type="dxa" w:w="1224"/>
            <w:shd w:val="clear" w:color="auto" w:fill="F4F6F8"/>
          </w:tcPr>
          <w:p>
            <w:pPr>
              <w:spacing w:before="20" w:after="20" w:line="252" w:lineRule="auto"/>
            </w:pPr>
            <w:r>
              <w:rPr>
                <w:rFonts w:ascii="Barlow" w:hAnsi="Barlow" w:cs="Barlow"/>
                <w:b w:val="0"/>
                <w:i w:val="0"/>
                <w:sz w:val="18"/>
              </w:rPr>
              <w:t>65–75</w:t>
            </w:r>
          </w:p>
        </w:tc>
        <w:tc>
          <w:tcPr>
            <w:tcW w:type="dxa" w:w="8712"/>
            <w:shd w:val="clear" w:color="auto" w:fill="F4F6F8"/>
          </w:tcPr>
          <w:p>
            <w:pPr>
              <w:spacing w:before="20" w:after="20" w:line="252" w:lineRule="auto"/>
            </w:pPr>
            <w:r>
              <w:rPr>
                <w:rFonts w:ascii="Barlow" w:hAnsi="Barlow" w:cs="Barlow"/>
                <w:b w:val="0"/>
                <w:i w:val="0"/>
                <w:sz w:val="18"/>
              </w:rPr>
              <w:t>Land it. Name hallucination. Assign HW2. Then ask the question that opens M04: if the tool can invent a section number, what else in this project have we accepted because it was formatted like an answer?</w:t>
            </w:r>
          </w:p>
        </w:tc>
      </w:tr>
    </w:tbl>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M03</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M03  ·  INSTRUCTOR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