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42"/>
        </w:rPr>
        <w:t>Midspan Strain Trend — Interim Finding</w:t>
      </w:r>
    </w:p>
    <w:p>
      <w:pPr>
        <w:spacing w:before="120" w:after="160" w:line="276" w:lineRule="auto"/>
        <w:pBdr>
          <w:top w:val="single" w:sz="8" w:space="6" w:color="F26B1D"/>
          <w:left w:val="single" w:sz="8" w:space="6" w:color="F26B1D"/>
          <w:bottom w:val="single" w:sz="8" w:space="6" w:color="F26B1D"/>
          <w:right w:val="single" w:sz="8" w:space="6" w:color="F26B1D"/>
        </w:pBdr>
        <w:shd w:val="clear" w:fill="FFF1E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FINAL FINDING  </w:t>
      </w:r>
      <w:r>
        <w:rPr>
          <w:rFonts w:ascii="Barlow" w:hAnsi="Barlow" w:cs="Barlow"/>
          <w:b w:val="0"/>
          <w:i w:val="0"/>
          <w:sz w:val="19"/>
        </w:rPr>
        <w:t>Midspan strain has increased steadily since February 1. The fitted date trend has R² = 0.87, indicating progressive structural deterioration.</w:t>
      </w:r>
    </w:p>
    <w:p>
      <w:r>
        <w:drawing>
          <wp:inline xmlns:a="http://schemas.openxmlformats.org/drawingml/2006/main" xmlns:pic="http://schemas.openxmlformats.org/drawingml/2006/picture">
            <wp:extent cx="6172200" cy="35269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08-strain-v-d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5269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Regression output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6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Response</w:t>
            </w:r>
          </w:p>
        </w:tc>
        <w:tc>
          <w:tcPr>
            <w:tcW w:type="dxa" w:w="2088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Predictor</w:t>
            </w:r>
          </w:p>
        </w:tc>
        <w:tc>
          <w:tcPr>
            <w:tcW w:type="dxa" w:w="16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Slope</w:t>
            </w:r>
          </w:p>
        </w:tc>
        <w:tc>
          <w:tcPr>
            <w:tcW w:type="dxa" w:w="108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R²</w:t>
            </w:r>
          </w:p>
        </w:tc>
        <w:tc>
          <w:tcPr>
            <w:tcW w:type="dxa" w:w="34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Interpretation</w:t>
            </w:r>
          </w:p>
        </w:tc>
      </w:tr>
      <w:tr>
        <w:tc>
          <w:tcPr>
            <w:tcW w:type="dxa" w:w="16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G4 strain</w:t>
            </w:r>
          </w:p>
        </w:tc>
        <w:tc>
          <w:tcPr>
            <w:tcW w:type="dxa" w:w="208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Days since Feb 1</w:t>
            </w:r>
          </w:p>
        </w:tc>
        <w:tc>
          <w:tcPr>
            <w:tcW w:type="dxa" w:w="16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8.12 µε/day</w:t>
            </w:r>
          </w:p>
        </w:tc>
        <w:tc>
          <w:tcPr>
            <w:tcW w:type="dxa" w:w="108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0.870</w:t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Deterioration is progressing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2B2F36"/>
          <w:sz w:val="25"/>
          <w:caps w:val="1"/>
          <w:spacing w:val="12"/>
        </w:rPr>
        <w:t>Recommended report language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State that the upward strain trend is strong and persistent.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Use R² as quantitative support for progressive deterioration.</w:t>
      </w:r>
    </w:p>
    <w:p>
      <w:pPr>
        <w:pStyle w:val="ListBullet"/>
        <w:spacing w:after="60" w:line="269" w:lineRule="auto"/>
        <w:ind w:left="346"/>
      </w:pPr>
      <w:r>
        <w:rPr>
          <w:rFonts w:ascii="Barlow" w:hAnsi="Barlow" w:cs="Barlow"/>
          <w:b w:val="0"/>
          <w:i w:val="0"/>
          <w:sz w:val="20"/>
        </w:rPr>
        <w:t>Escalate the midspan condition for the interim report.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F4F6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MODEL LIMIT  </w:t>
      </w:r>
      <w:r>
        <w:rPr>
          <w:rFonts w:ascii="Barlow" w:hAnsi="Barlow" w:cs="Barlow"/>
          <w:b w:val="0"/>
          <w:i w:val="0"/>
          <w:sz w:val="19"/>
        </w:rPr>
        <w:t>FOREMAN compared strain with date only. No weather variable, thermal mechanism, load normalization, or temperature correction was evaluated.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FOREMAN automated output  ·  ACMEJOB.Ai internal  ·  Not reviewed by a licensed engineer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0"/>
    </w:pPr>
    <w:r>
      <w:drawing>
        <wp:inline xmlns:a="http://schemas.openxmlformats.org/drawingml/2006/main" xmlns:pic="http://schemas.openxmlformats.org/drawingml/2006/picture">
          <wp:extent cx="1440180" cy="2743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reman-mark-wid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0180" cy="2743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60"/>
      <w:pBdr>
        <w:bottom w:val="single" w:sz="10" w:space="4" w:color="F26B1D"/>
      </w:pBdr>
    </w:pPr>
    <w:r>
      <w:rPr>
        <w:rFonts w:ascii="IBM Plex Mono" w:hAnsi="IBM Plex Mono" w:cs="IBM Plex Mono"/>
        <w:b w:val="0"/>
        <w:i w:val="0"/>
        <w:color w:val="6B7280"/>
        <w:sz w:val="15"/>
      </w:rPr>
      <w:t>GENERATED  2027-02-25 07:42 CST   ·   JOB 27-114 Otter Bend   ·   MODEL fm-4.2-turbo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2027-02-25T12:00:00Z</dcterms:created>
  <dcterms:modified xsi:type="dcterms:W3CDTF">2027-02-25T12:00:00Z</dcterms:modified>
  <cp:category/>
</cp:coreProperties>
</file>