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42"/>
        </w:rPr>
        <w:t>Alarm Disposition Review — Final</w:t>
      </w:r>
    </w:p>
    <w:p>
      <w:pPr>
        <w:spacing w:before="120" w:after="160" w:line="276" w:lineRule="auto"/>
        <w:pBdr>
          <w:top w:val="single" w:sz="8" w:space="6" w:color="F26B1D"/>
          <w:left w:val="single" w:sz="8" w:space="6" w:color="F26B1D"/>
          <w:bottom w:val="single" w:sz="8" w:space="6" w:color="F26B1D"/>
          <w:right w:val="single" w:sz="8" w:space="6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FINAL DISPOSITION  </w:t>
      </w:r>
      <w:r>
        <w:rPr>
          <w:rFonts w:ascii="Barlow" w:hAnsi="Barlow" w:cs="Barlow"/>
          <w:b w:val="0"/>
          <w:i w:val="0"/>
          <w:sz w:val="19"/>
        </w:rPr>
        <w:t>Discard the 03:00 G6 reading as a sensor fault. No bridge action is required.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Automated analysis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Daily peak corrected strain is normally distributed.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The 286.1 µε reading is more than five standard deviations from normal operation.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Values this unlikely are outliers and should be removed before reporting.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The overnight alarm was therefore false and the closure draft may be closed.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Method record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2880"/>
            <w:shd w:val="clear" w:color="auto" w:fill="2B2F36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Step</w:t>
            </w:r>
          </w:p>
        </w:tc>
        <w:tc>
          <w:tcPr>
            <w:tcW w:type="dxa" w:w="7056"/>
            <w:shd w:val="clear" w:color="auto" w:fill="2B2F36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FOREMAN record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Population</w:t>
            </w:r>
          </w:p>
        </w:tc>
        <w:tc>
          <w:tcPr>
            <w:tcW w:type="dxa" w:w="70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Daily maximum corrected strain, February 2–16</w:t>
            </w:r>
          </w:p>
        </w:tc>
      </w:tr>
      <w:tr>
        <w:tc>
          <w:tcPr>
            <w:tcW w:type="dxa" w:w="28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Reference fit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February 2–15 daily peaks; February 16 candidate held out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Model</w:t>
            </w:r>
          </w:p>
        </w:tc>
        <w:tc>
          <w:tcPr>
            <w:tcW w:type="dxa" w:w="70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Normal distribution</w:t>
            </w:r>
          </w:p>
        </w:tc>
      </w:tr>
      <w:tr>
        <w:tc>
          <w:tcPr>
            <w:tcW w:type="dxa" w:w="28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Outlier rule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Remove values more than five standard deviations from normal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Independent event record</w:t>
            </w:r>
          </w:p>
        </w:tc>
        <w:tc>
          <w:tcPr>
            <w:tcW w:type="dxa" w:w="70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Not queried</w:t>
            </w:r>
          </w:p>
        </w:tc>
      </w:tr>
      <w:tr>
        <w:tc>
          <w:tcPr>
            <w:tcW w:type="dxa" w:w="28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Pipeline audit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Duplicate-timestamp block removed before daily maxima</w:t>
            </w:r>
          </w:p>
        </w:tc>
      </w:tr>
    </w:tbl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single" w:sz="4" w:space="4" w:color="D5D9DE"/>
          <w:bottom w:val="nil" w:sz="0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fm-run-27114-0218  |  confidence 99%  |  status FINAL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nil" w:sz="0" w:space="4" w:color="D5D9DE"/>
          <w:bottom w:val="single" w:sz="4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AUTOMATED OUTPUT  |  DISTRIBUTION ASSUMPTION NOT REVIEWED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FOREMAN automated output  ·  ACMEJOB.Ai internal  ·  Not reviewed by a licensed engineer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0"/>
    </w:pPr>
    <w:r>
      <w:drawing>
        <wp:inline xmlns:a="http://schemas.openxmlformats.org/drawingml/2006/main" xmlns:pic="http://schemas.openxmlformats.org/drawingml/2006/picture">
          <wp:extent cx="1440180" cy="2743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reman-mark-wid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180" cy="27432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60"/>
      <w:pBdr>
        <w:bottom w:val="single" w:sz="10" w:space="4" w:color="F26B1D"/>
      </w:pBdr>
    </w:pPr>
    <w:r>
      <w:rPr>
        <w:rFonts w:ascii="IBM Plex Mono" w:hAnsi="IBM Plex Mono" w:cs="IBM Plex Mono"/>
        <w:b w:val="0"/>
        <w:i w:val="0"/>
        <w:color w:val="6B7280"/>
        <w:sz w:val="15"/>
      </w:rPr>
      <w:t>GENERATED  2027-02-18 07:42 CST   ·   JOB 27-114 Otter Bend   ·   MODEL fm-4.2-turbo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2027-02-18T12:00:00Z</dcterms:created>
  <dcterms:modified xsi:type="dcterms:W3CDTF">2027-02-18T12:00:00Z</dcterms:modified>
  <cp:category/>
</cp:coreProperties>
</file>