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Confidence, Precision, and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Concept</w:t>
            </w:r>
          </w:p>
        </w:tc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Working meaning</w:t>
            </w:r>
          </w:p>
        </w:tc>
        <w:tc>
          <w:tcPr>
            <w:tcW w:type="dxa" w:w="33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M09 audit move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AI overconfidence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Certainty in tone or formatting that outruns the evidence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Separate confidence language from support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False precision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More digits or granularity than inputs and uncertainty justify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Trace digits to source resolution and spread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Statistical basis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Data and method that support a quantitative claim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Ask what sample, variability, and assumptions support it</w:t>
            </w:r>
          </w:p>
        </w:tc>
      </w:tr>
      <w:tr>
        <w:tc>
          <w:tcPr>
            <w:tcW w:type="dxa" w:w="208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Random sampling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Selection by a chance process with known inclusion opportunity</w:t>
            </w:r>
          </w:p>
        </w:tc>
        <w:tc>
          <w:tcPr>
            <w:tcW w:type="dxa" w:w="331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Distinguish a random draw from easy access</w:t>
            </w:r>
          </w:p>
        </w:tc>
      </w:tr>
      <w:tr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Sampling variability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Different random samples produce different statistics</w:t>
            </w:r>
          </w:p>
        </w:tc>
        <w:tc>
          <w:tcPr>
            <w:tcW w:type="dxa" w:w="33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Compare the twelve n = 8 sample means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Significant figures are a reporting decision  </w:t>
      </w:r>
      <w:r>
        <w:rPr>
          <w:rFonts w:ascii="Barlow" w:hAnsi="Barlow" w:cs="Barlow"/>
          <w:b w:val="0"/>
          <w:i w:val="0"/>
          <w:sz w:val="19"/>
        </w:rPr>
        <w:t>Keep enough digits to avoid distorting the supported scale; drop digits that imply resolution the evidence does not have. Rounding does not repair an unsupported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