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Remaining Fatigue Life — Sheave-Shaft Screening Estimate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26"/>
          <w:caps w:val="1"/>
          <w:spacing w:val="10"/>
        </w:rPr>
        <w:t xml:space="preserve">FINAL ANSWER  </w:t>
      </w:r>
      <w:r>
        <w:rPr>
          <w:rFonts w:ascii="Barlow" w:hAnsi="Barlow" w:cs="Barlow"/>
          <w:b w:val="0"/>
          <w:i w:val="0"/>
          <w:sz w:val="26"/>
        </w:rPr>
        <w:t>41,872,316 cycles remaining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Calculation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single" w:sz="4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mean tested life       = 44,872,500 cycles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nil" w:sz="0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accumulated service    = 3,000,184 cycles</w:t>
      </w:r>
    </w:p>
    <w:p>
      <w:pPr>
        <w:spacing w:before="0" w:after="0" w:line="276" w:lineRule="auto"/>
        <w:ind w:left="86"/>
        <w:pBdr>
          <w:left w:val="single" w:sz="4" w:space="4" w:color="D5D9DE"/>
          <w:right w:val="single" w:sz="4" w:space="4" w:color="D5D9DE"/>
          <w:top w:val="nil" w:sz="0" w:space="4" w:color="D5D9DE"/>
          <w:bottom w:val="single" w:sz="4" w:space="4" w:color="D5D9DE"/>
        </w:pBdr>
        <w:shd w:val="clear" w:fill="F4F6F8"/>
      </w:pPr>
      <w:r>
        <w:rPr>
          <w:rFonts w:ascii="IBM Plex Mono" w:hAnsi="IBM Plex Mono" w:cs="IBM Plex Mono"/>
          <w:b w:val="0"/>
          <w:i w:val="0"/>
          <w:color w:val="2B2F36"/>
          <w:sz w:val="17"/>
        </w:rPr>
        <w:t>remaining life         = 41,872,316 cycles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Input record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Input</w:t>
            </w:r>
          </w:p>
        </w:tc>
        <w:tc>
          <w:tcPr>
            <w:tcW w:type="dxa" w:w="25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Value shown</w:t>
            </w:r>
          </w:p>
        </w:tc>
        <w:tc>
          <w:tcPr>
            <w:tcW w:type="dxa" w:w="475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Source resolution / limitation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Constant-amplitude tests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12 specimens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one synthetic batch; one stress range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Cycles to crack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35,780,000–56,000,000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recorded to nearest 10,000 cycles</w:t>
            </w:r>
          </w:p>
        </w:tc>
      </w:tr>
      <w:tr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Sample spread</w:t>
            </w:r>
          </w:p>
        </w:tc>
        <w:tc>
          <w:tcPr>
            <w:tcW w:type="dxa" w:w="25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SD 6,268,750 cycles</w:t>
            </w:r>
          </w:p>
        </w:tc>
        <w:tc>
          <w:tcPr>
            <w:tcW w:type="dxa" w:w="475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test-to-test variability</w:t>
            </w:r>
          </w:p>
        </w:tc>
      </w:tr>
      <w:tr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Accumulated service</w:t>
            </w:r>
          </w:p>
        </w:tc>
        <w:tc>
          <w:tcPr>
            <w:tcW w:type="dxa" w:w="259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3,000,184 cycles</w:t>
            </w:r>
          </w:p>
        </w:tc>
        <w:tc>
          <w:tcPr>
            <w:tcW w:type="dxa" w:w="4752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screening estimate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Automated interpretation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Use the calculated value as the single remaining-life figure in the interim planning table.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No reporting range is required because the arithmetic returned one point estimate.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Model confidence: HIGH.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F4F6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UNRESOLVED BASIS  </w:t>
      </w:r>
      <w:r>
        <w:rPr>
          <w:rFonts w:ascii="Barlow" w:hAnsi="Barlow" w:cs="Barlow"/>
          <w:b w:val="0"/>
          <w:i w:val="0"/>
          <w:sz w:val="19"/>
        </w:rPr>
        <w:t>This screening output does not quantify test scatter, specimen-to-component transfer, variable-amplitude loading, environment, inspection uncertainty, or the statistical basis for the displayed digits.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2027-03-02 07:31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