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120" w:line="240" w:lineRule="auto"/>
      </w:pPr>
      <w:r>
        <w:rPr>
          <w:rFonts w:ascii="Barlow Condensed" w:hAnsi="Barlow Condensed" w:cs="Barlow Condensed"/>
          <w:b/>
          <w:i w:val="0"/>
          <w:color w:val="2B2F36"/>
          <w:sz w:val="42"/>
        </w:rPr>
        <w:t>Deck Load-Test Comparison — Final</w:t>
      </w:r>
    </w:p>
    <w:p>
      <w:pPr>
        <w:spacing w:before="120" w:after="160" w:line="276" w:lineRule="auto"/>
        <w:pBdr>
          <w:top w:val="single" w:sz="8" w:space="6" w:color="F26B1D"/>
          <w:left w:val="single" w:sz="8" w:space="6" w:color="F26B1D"/>
          <w:bottom w:val="single" w:sz="8" w:space="6" w:color="F26B1D"/>
          <w:right w:val="single" w:sz="8" w:space="6" w:color="F26B1D"/>
        </w:pBdr>
        <w:shd w:val="clear" w:fill="FFF1E8"/>
      </w:pPr>
      <w:r>
        <w:rPr>
          <w:rFonts w:ascii="Barlow Condensed" w:hAnsi="Barlow Condensed" w:cs="Barlow Condensed"/>
          <w:b/>
          <w:i w:val="0"/>
          <w:color w:val="2B2F36"/>
          <w:sz w:val="19"/>
          <w:caps w:val="1"/>
          <w:spacing w:val="10"/>
        </w:rPr>
        <w:t xml:space="preserve">FINAL FINDING  </w:t>
      </w:r>
      <w:r>
        <w:rPr>
          <w:rFonts w:ascii="Barlow" w:hAnsi="Barlow" w:cs="Barlow"/>
          <w:b w:val="0"/>
          <w:i w:val="0"/>
          <w:sz w:val="19"/>
        </w:rPr>
        <w:t>Mean strain under the reference test truck increased 6 percent from 2019 to 2027. The change is statistically significant (p = 0.04), so there is a 96 percent chance the deck has deteriorated. Deterioration is confirmed.</w:t>
      </w:r>
    </w:p>
    <w:p>
      <w:r>
        <w:drawing>
          <wp:inline xmlns:a="http://schemas.openxmlformats.org/drawingml/2006/main" xmlns:pic="http://schemas.openxmlformats.org/drawingml/2006/picture">
            <wp:extent cx="6172200" cy="35269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10-paired-location-mean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5269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60" w:after="80" w:line="240" w:lineRule="auto"/>
      </w:pPr>
      <w:r>
        <w:rPr>
          <w:rFonts w:ascii="Barlow Condensed" w:hAnsi="Barlow Condensed" w:cs="Barlow Condensed"/>
          <w:b/>
          <w:i w:val="0"/>
          <w:color w:val="2B2F36"/>
          <w:sz w:val="25"/>
          <w:caps w:val="1"/>
          <w:spacing w:val="12"/>
        </w:rPr>
        <w:t>Reported basis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Layout w:type="fixed"/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2304"/>
            <w:shd w:val="clear" w:color="auto" w:fill="1F3A5F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6"/>
              </w:rPr>
              <w:t>Comparison</w:t>
            </w:r>
          </w:p>
        </w:tc>
        <w:tc>
          <w:tcPr>
            <w:tcW w:type="dxa" w:w="1656"/>
            <w:shd w:val="clear" w:color="auto" w:fill="1F3A5F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6"/>
              </w:rPr>
              <w:t>2019 mean</w:t>
            </w:r>
          </w:p>
        </w:tc>
        <w:tc>
          <w:tcPr>
            <w:tcW w:type="dxa" w:w="1656"/>
            <w:shd w:val="clear" w:color="auto" w:fill="1F3A5F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6"/>
              </w:rPr>
              <w:t>2027 mean</w:t>
            </w:r>
          </w:p>
        </w:tc>
        <w:tc>
          <w:tcPr>
            <w:tcW w:type="dxa" w:w="1296"/>
            <w:shd w:val="clear" w:color="auto" w:fill="1F3A5F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6"/>
              </w:rPr>
              <w:t>Change</w:t>
            </w:r>
          </w:p>
        </w:tc>
        <w:tc>
          <w:tcPr>
            <w:tcW w:type="dxa" w:w="3024"/>
            <w:shd w:val="clear" w:color="auto" w:fill="1F3A5F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6"/>
              </w:rPr>
              <w:t>Disposition</w:t>
            </w:r>
          </w:p>
        </w:tc>
      </w:tr>
      <w:tr>
        <w:tc>
          <w:tcPr>
            <w:tcW w:type="dxa" w:w="2304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8 paired locations</w:t>
            </w:r>
          </w:p>
        </w:tc>
        <w:tc>
          <w:tcPr>
            <w:tcW w:type="dxa" w:w="1656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100.0 µε</w:t>
            </w:r>
          </w:p>
        </w:tc>
        <w:tc>
          <w:tcPr>
            <w:tcW w:type="dxa" w:w="1656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106.0 µε</w:t>
            </w:r>
          </w:p>
        </w:tc>
        <w:tc>
          <w:tcPr>
            <w:tcW w:type="dxa" w:w="1296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+6.0%</w:t>
            </w:r>
          </w:p>
        </w:tc>
        <w:tc>
          <w:tcPr>
            <w:tcW w:type="dxa" w:w="3024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Confirmed deterioration</w:t>
            </w:r>
          </w:p>
        </w:tc>
      </w:tr>
    </w:tbl>
    <w:p>
      <w:pPr>
        <w:spacing w:before="260" w:after="80" w:line="240" w:lineRule="auto"/>
      </w:pPr>
      <w:r>
        <w:rPr>
          <w:rFonts w:ascii="Barlow Condensed" w:hAnsi="Barlow Condensed" w:cs="Barlow Condensed"/>
          <w:b/>
          <w:i w:val="0"/>
          <w:color w:val="2B2F36"/>
          <w:sz w:val="25"/>
          <w:caps w:val="1"/>
          <w:spacing w:val="12"/>
        </w:rPr>
        <w:t>Recommendation</w:t>
      </w:r>
    </w:p>
    <w:p>
      <w:pPr>
        <w:pStyle w:val="ListBullet"/>
        <w:spacing w:after="60" w:line="269" w:lineRule="auto"/>
        <w:ind w:left="346"/>
      </w:pPr>
      <w:r>
        <w:rPr>
          <w:rFonts w:ascii="Barlow" w:hAnsi="Barlow" w:cs="Barlow"/>
          <w:b w:val="0"/>
          <w:i w:val="0"/>
          <w:sz w:val="20"/>
        </w:rPr>
        <w:t>Enter “deterioration confirmed” in the interim report.</w:t>
      </w:r>
    </w:p>
    <w:p>
      <w:pPr>
        <w:pStyle w:val="ListBullet"/>
        <w:spacing w:after="60" w:line="269" w:lineRule="auto"/>
        <w:ind w:left="346"/>
      </w:pPr>
      <w:r>
        <w:rPr>
          <w:rFonts w:ascii="Barlow" w:hAnsi="Barlow" w:cs="Barlow"/>
          <w:b w:val="0"/>
          <w:i w:val="0"/>
          <w:sz w:val="20"/>
        </w:rPr>
        <w:t>Treat p = 0.04 as 96% confidence that the deterioration claim is true.</w:t>
      </w:r>
    </w:p>
    <w:p>
      <w:pPr>
        <w:pStyle w:val="ListBullet"/>
        <w:spacing w:after="60" w:line="269" w:lineRule="auto"/>
        <w:ind w:left="346"/>
      </w:pPr>
      <w:r>
        <w:rPr>
          <w:rFonts w:ascii="Barlow" w:hAnsi="Barlow" w:cs="Barlow"/>
          <w:b w:val="0"/>
          <w:i w:val="0"/>
          <w:sz w:val="20"/>
        </w:rPr>
        <w:t>Do not distinguish statistical significance from engineering magnitude.</w:t>
      </w:r>
    </w:p>
    <w:p>
      <w:pPr>
        <w:spacing w:before="120" w:after="160" w:line="276" w:lineRule="auto"/>
        <w:pBdr>
          <w:top w:val="single" w:sz="8" w:space="6" w:color="6F8FAF"/>
          <w:left w:val="single" w:sz="8" w:space="6" w:color="6F8FAF"/>
          <w:bottom w:val="single" w:sz="8" w:space="6" w:color="6F8FAF"/>
          <w:right w:val="single" w:sz="8" w:space="6" w:color="6F8FAF"/>
        </w:pBdr>
        <w:shd w:val="clear" w:fill="F4F6F8"/>
      </w:pPr>
      <w:r>
        <w:rPr>
          <w:rFonts w:ascii="Barlow Condensed" w:hAnsi="Barlow Condensed" w:cs="Barlow Condensed"/>
          <w:b/>
          <w:i w:val="0"/>
          <w:color w:val="2B2F36"/>
          <w:sz w:val="19"/>
          <w:caps w:val="1"/>
          <w:spacing w:val="10"/>
        </w:rPr>
        <w:t xml:space="preserve">MODEL LIMIT  </w:t>
      </w:r>
      <w:r>
        <w:rPr>
          <w:rFonts w:ascii="Barlow" w:hAnsi="Barlow" w:cs="Barlow"/>
          <w:b w:val="0"/>
          <w:i w:val="0"/>
          <w:sz w:val="19"/>
        </w:rPr>
        <w:t>FOREMAN gives no interval, does not show the confidence-level sensitivity, and does not separate repeatability noise, process controls, and the estimated between-year change.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152" w:bottom="1152" w:left="1152" w:header="576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tabs>
        <w:tab w:val="right" w:pos="9936"/>
      </w:tabs>
    </w:pPr>
    <w:r>
      <w:rPr>
        <w:rFonts w:ascii="Barlow" w:hAnsi="Barlow" w:cs="Barlow"/>
        <w:b w:val="0"/>
        <w:i w:val="0"/>
        <w:color w:val="6B7280"/>
        <w:sz w:val="16"/>
      </w:rPr>
      <w:t>FOREMAN automated output  ·  ACMEJOB.Ai internal  ·  Not reviewed by a licensed engineer</w:t>
    </w:r>
    <w:r>
      <w:tab/>
    </w:r>
    <w:r>
      <w:rPr>
        <w:rFonts w:ascii="Barlow" w:hAnsi="Barlow"/>
        <w:color w:val="6B7280"/>
        <w:sz w:val="16"/>
      </w:rPr>
      <w:fldChar w:fldCharType="begin"/>
      <w:instrText xml:space="preserve"> PAGE </w:instrText>
      <w:fldChar w:fldCharType="end"/>
    </w:r>
    <w:r>
      <w:rPr>
        <w:rFonts w:ascii="Barlow" w:hAnsi="Barlow"/>
        <w:color w:val="6B7280"/>
        <w:sz w:val="16"/>
      </w:rPr>
      <w:t xml:space="preserve"> of </w:t>
    </w:r>
    <w:r>
      <w:rPr>
        <w:rFonts w:ascii="Barlow" w:hAnsi="Barlow"/>
        <w:color w:val="6B7280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20"/>
    </w:pPr>
    <w:r>
      <w:drawing>
        <wp:inline xmlns:a="http://schemas.openxmlformats.org/drawingml/2006/main" xmlns:pic="http://schemas.openxmlformats.org/drawingml/2006/picture">
          <wp:extent cx="1440180" cy="27432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reman-mark-wid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40180" cy="27432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before="0" w:after="60"/>
      <w:pBdr>
        <w:bottom w:val="single" w:sz="10" w:space="4" w:color="F26B1D"/>
      </w:pBdr>
    </w:pPr>
    <w:r>
      <w:rPr>
        <w:rFonts w:ascii="IBM Plex Mono" w:hAnsi="IBM Plex Mono" w:cs="IBM Plex Mono"/>
        <w:b w:val="0"/>
        <w:i w:val="0"/>
        <w:color w:val="6B7280"/>
        <w:sz w:val="15"/>
      </w:rPr>
      <w:t>GENERATED  2027-03-04 07:31 CST   ·   JOB 27-114 Otter Bend   ·   MODEL fm-4.2-turbo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Barlow" w:hAnsi="Barlow" w:eastAsia="Barlow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2027-03-04T12:00:00Z</dcterms:created>
  <dcterms:modified xsi:type="dcterms:W3CDTF">2027-03-04T12:00:00Z</dcterms:modified>
  <cp:category/>
</cp:coreProperties>
</file>