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Paired Load-Test Evidence Guide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The comparison uses the same eight instrumented locations and three matched truck passes per location in each year. Analyze location means as eight paired observations.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File / field</w:t>
            </w:r>
          </w:p>
        </w:tc>
        <w:tc>
          <w:tcPr>
            <w:tcW w:type="dxa" w:w="52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Meaning</w:t>
            </w:r>
          </w:p>
        </w:tc>
        <w:tc>
          <w:tcPr>
            <w:tcW w:type="dxa" w:w="15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Unit / role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loadtest_2019_2027.csv</w:t>
            </w:r>
          </w:p>
        </w:tc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48 pass-level records: 8 locations × 2 years × 3 passes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source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analysis_strain_microstrain</w:t>
            </w:r>
          </w:p>
        </w:tc>
        <w:tc>
          <w:tcPr>
            <w:tcW w:type="dxa" w:w="52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temperature-corrected response under the reference truck</w:t>
            </w:r>
          </w:p>
        </w:tc>
        <w:tc>
          <w:tcPr>
            <w:tcW w:type="dxa" w:w="15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µε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reference_load_kips</w:t>
            </w:r>
          </w:p>
        </w:tc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matched reference test load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80.0 kips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lane_offset_ft / speed_mph</w:t>
            </w:r>
          </w:p>
        </w:tc>
        <w:tc>
          <w:tcPr>
            <w:tcW w:type="dxa" w:w="52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matched process controls</w:t>
            </w:r>
          </w:p>
        </w:tc>
        <w:tc>
          <w:tcPr>
            <w:tcW w:type="dxa" w:w="15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0.0 ft / 5.0 mph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M10-paired-location-summary.csv</w:t>
            </w:r>
          </w:p>
        </w:tc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year means, paired change, and repeatability SD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analysis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Noise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48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How M10 checks or limits it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What remains</w:t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Measurement repeatability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Three passes; within-test SD reported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Location-to-location variation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Same-location pairing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Truck load / lane / speed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Matched controls in both years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Temperature response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Correction already applied and recorded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Sampling uncertainty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Standard error and t interval on 8 changes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Boundary  </w:t>
      </w:r>
      <w:r>
        <w:rPr>
          <w:rFonts w:ascii="Barlow" w:hAnsi="Barlow" w:cs="Barlow"/>
          <w:b w:val="0"/>
          <w:i w:val="0"/>
          <w:sz w:val="19"/>
        </w:rPr>
        <w:t>These controls make a small between-year signal more credible. They do not identify a damage mechanism or prove the whole deck deteriorated uniformly.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