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Decision Record · Unit 2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Unit 2 standard  </w:t>
      </w:r>
      <w:r>
        <w:rPr>
          <w:rFonts w:ascii="Barlow" w:hAnsi="Barlow" w:cs="Barlow"/>
          <w:b w:val="0"/>
          <w:i w:val="0"/>
          <w:sz w:val="19"/>
        </w:rPr>
        <w:t>Three lines: claim, check, result. From M10 onward, include a number with its spread or interval. Diane's yes-or-no request does not erase uncertainty.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0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59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Student record</w:t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CLAIM — What FOREMAN says the 6% increase proves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CHECK — Paired estimate, confidence interval, and noise/control audit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40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RESULT — Supported conclusion with magnitude and confidence boundary</w:t>
            </w:r>
          </w:p>
        </w:tc>
        <w:tc>
          <w:tcPr>
            <w:tcW w:type="dxa" w:w="59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Decision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8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Action chosen</w:t>
            </w:r>
          </w:p>
        </w:tc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Hours</w:t>
            </w:r>
          </w:p>
        </w:tc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Evidence checked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Accepted unverified</w:t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M10 deck-change claim / HW5 plan</w:t>
            </w:r>
          </w:p>
        </w:tc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M10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M10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2027-03-04T12:00:00Z</dcterms:created>
  <dcterms:modified xsi:type="dcterms:W3CDTF">2027-03-04T12:00:00Z</dcterms:modified>
  <cp:category/>
</cp:coreProperties>
</file>