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Note v1 + HW3 — Audit the Overnight Feed</w:t>
      </w: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20"/>
        </w:rPr>
        <w:t>Submit the note before the class reveal. Then keep the same feed for HW3. You are auditing a chain of claims, not guessing what crossed the bridge.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Note v1 — three sentences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244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8"/>
              </w:rPr>
              <w:t>1 — Supports</w:t>
            </w:r>
          </w:p>
        </w:tc>
        <w:tc>
          <w:tcPr>
            <w:tcW w:type="dxa" w:w="748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8"/>
              </w:rPr>
              <w:t>What the available data and configuration support right now.</w:t>
            </w:r>
          </w:p>
        </w:tc>
      </w:tr>
      <w:tr>
        <w:tc>
          <w:tcPr>
            <w:tcW w:type="dxa" w:w="24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2 — Does not support</w:t>
            </w:r>
          </w:p>
        </w:tc>
        <w:tc>
          <w:tcPr>
            <w:tcW w:type="dxa" w:w="74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The claim or action that outran the evidence.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3 — Next checkpoint</w:t>
            </w:r>
          </w:p>
        </w:tc>
        <w:tc>
          <w:tcPr>
            <w:tcW w:type="dxa" w:w="74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The next check required before an external recommendation.</w:t>
            </w:r>
          </w:p>
        </w:tc>
      </w:tr>
    </w:tbl>
    <w:p>
      <w:pPr>
        <w:spacing w:before="40" w:after="220" w:line="276" w:lineRule="auto"/>
        <w:pBdr>
          <w:bottom w:val="single" w:sz="6" w:space="4" w:color="C9CFD6"/>
        </w:pBdr>
      </w:pPr>
    </w:p>
    <w:p>
      <w:pPr>
        <w:spacing w:before="40" w:after="220" w:line="276" w:lineRule="auto"/>
        <w:pBdr>
          <w:bottom w:val="single" w:sz="6" w:space="4" w:color="C9CFD6"/>
        </w:pBdr>
      </w:pPr>
    </w:p>
    <w:p>
      <w:pPr>
        <w:spacing w:before="40" w:after="220" w:line="276" w:lineRule="auto"/>
        <w:pBdr>
          <w:bottom w:val="single" w:sz="6" w:space="4" w:color="C9CFD6"/>
        </w:pBdr>
      </w:pPr>
    </w:p>
    <w:p>
      <w:pPr>
        <w:spacing w:before="40" w:after="220" w:line="276" w:lineRule="auto"/>
        <w:pBdr>
          <w:bottom w:val="single" w:sz="6" w:space="4" w:color="C9CFD6"/>
        </w:pBdr>
      </w:pPr>
    </w:p>
    <w:p>
      <w:pPr>
        <w:spacing w:before="40" w:after="220" w:line="276" w:lineRule="auto"/>
        <w:pBdr>
          <w:bottom w:val="single" w:sz="6" w:space="4" w:color="C9CFD6"/>
        </w:pBdr>
      </w:pPr>
    </w:p>
    <w:p>
      <w:pPr>
        <w:spacing w:before="40" w:after="220" w:line="276" w:lineRule="auto"/>
        <w:pBdr>
          <w:bottom w:val="single" w:sz="6" w:space="4" w:color="C9CFD6"/>
        </w:pBdr>
      </w:pP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HW3 — bring Thursday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Record total rows, unique (timestamp, gauge_id) pairs, and the difference between them.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Identify any duplicated timestamp block. State exactly how you defined a duplicate.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For each 10-minute timestamp, compute the maximum corrected strain across gauges. Keep the result; do not delete a value because it looks unusual.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Write one paragraph: which part of FOREMAN's pipeline you can reproduce, which part you cannot yet validate, and what additional file would resolve the physical event.</w:t>
      </w:r>
    </w:p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Do not answer M06 early  </w:t>
      </w:r>
      <w:r>
        <w:rPr>
          <w:rFonts w:ascii="Barlow" w:hAnsi="Barlow" w:cs="Barlow"/>
          <w:b w:val="0"/>
          <w:i w:val="0"/>
          <w:sz w:val="19"/>
        </w:rPr>
        <w:t>A recorded exceedance, a correct threshold comparison, and a real physical event are three different claims. HW3 establishes the first two and audits the file. Thursday adds the evidence needed for the third.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Grading  </w:t>
      </w:r>
      <w:r>
        <w:rPr>
          <w:rFonts w:ascii="Barlow" w:hAnsi="Barlow" w:cs="Barlow"/>
          <w:b w:val="0"/>
          <w:i w:val="0"/>
          <w:sz w:val="19"/>
        </w:rPr>
        <w:t>The trace, evidence, and stated uncertainty are graded. Diane's preferred answer is not.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M05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M05  ·  HAND-IN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