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A154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jc w:val="center"/>
        <w:textAlignment w:val="auto"/>
        <w:rPr>
          <w:rFonts w:hint="default" w:ascii="微软雅黑" w:hAnsi="微软雅黑" w:eastAsia="微软雅黑" w:cs="微软雅黑"/>
          <w:b/>
          <w:bCs/>
          <w:sz w:val="32"/>
          <w:szCs w:val="32"/>
          <w:lang w:val="en-US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工程实践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课程成绩评分标准</w:t>
      </w:r>
    </w:p>
    <w:p w14:paraId="7EEDA28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工程实践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课程成绩由</w:t>
      </w:r>
      <w:r>
        <w:rPr>
          <w:rFonts w:hint="eastAsia" w:ascii="微软雅黑" w:hAnsi="微软雅黑" w:eastAsia="微软雅黑" w:cs="微软雅黑"/>
          <w:sz w:val="24"/>
          <w:szCs w:val="24"/>
        </w:rPr>
        <w:t>六个大类（需求分析报告、概览设计、详细设计、项目研究报告、答辩材料、源代码）支撑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分别能达成一下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课程目标：</w:t>
      </w:r>
    </w:p>
    <w:p w14:paraId="7E7EF1AE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</w:rPr>
        <w:t>需求分析报告</w:t>
      </w: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  <w:lang w:eastAsia="zh-CN"/>
        </w:rPr>
        <w:t>：</w:t>
      </w: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</w:rPr>
        <w:t>培养“全面考虑”的能力​</w:t>
      </w:r>
      <w:r>
        <w:rPr>
          <w:rFonts w:hint="eastAsia" w:ascii="微软雅黑" w:hAnsi="微软雅黑" w:eastAsia="微软雅黑" w:cs="微软雅黑"/>
          <w:sz w:val="24"/>
          <w:szCs w:val="24"/>
        </w:rPr>
        <w:t>​</w:t>
      </w:r>
    </w:p>
    <w:p w14:paraId="0C2E418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1080" w:leftChars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9"/>
          <w:rFonts w:hint="eastAsia" w:ascii="微软雅黑" w:hAnsi="微软雅黑" w:eastAsia="微软雅黑" w:cs="微软雅黑"/>
          <w:sz w:val="24"/>
          <w:szCs w:val="24"/>
        </w:rPr>
        <w:t>识别风险与责任</w:t>
      </w:r>
      <w:r>
        <w:rPr>
          <w:rFonts w:hint="eastAsia" w:ascii="微软雅黑" w:hAnsi="微软雅黑" w:eastAsia="微软雅黑" w:cs="微软雅黑"/>
          <w:sz w:val="24"/>
          <w:szCs w:val="24"/>
        </w:rPr>
        <w:t>：让学生学会分析技术是否靠谱、成本是否划算、操作是否方便、法律是否允许，避免项目“踩坑”。</w:t>
      </w:r>
    </w:p>
    <w:p w14:paraId="2F3C4A1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1080" w:leftChars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9"/>
          <w:rFonts w:hint="eastAsia" w:ascii="微软雅黑" w:hAnsi="微软雅黑" w:eastAsia="微软雅黑" w:cs="微软雅黑"/>
          <w:sz w:val="24"/>
          <w:szCs w:val="24"/>
        </w:rPr>
        <w:t>抓主要矛盾</w:t>
      </w:r>
      <w:r>
        <w:rPr>
          <w:rFonts w:hint="eastAsia" w:ascii="微软雅黑" w:hAnsi="微软雅黑" w:eastAsia="微软雅黑" w:cs="微软雅黑"/>
          <w:sz w:val="24"/>
          <w:szCs w:val="24"/>
        </w:rPr>
        <w:t>：训练学生从一堆需求中分清“必须做”和“可以做”，优先解决核心问题。</w:t>
      </w:r>
    </w:p>
    <w:p w14:paraId="56F45656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="0" w:leftChars="0" w:firstLine="420" w:firstLineChars="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</w:rPr>
        <w:t>概览设计</w:t>
      </w: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  <w:lang w:eastAsia="zh-CN"/>
        </w:rPr>
        <w:t>：</w:t>
      </w: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</w:rPr>
        <w:t>培养“大局观”能力</w:t>
      </w:r>
    </w:p>
    <w:p w14:paraId="3C4688C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1080" w:leftChars="0"/>
        <w:textAlignment w:val="auto"/>
        <w:rPr>
          <w:rStyle w:val="9"/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9"/>
          <w:rFonts w:hint="eastAsia" w:ascii="微软雅黑" w:hAnsi="微软雅黑" w:eastAsia="微软雅黑" w:cs="微软雅黑"/>
          <w:sz w:val="24"/>
          <w:szCs w:val="24"/>
        </w:rPr>
        <w:t>系统思维：</w:t>
      </w:r>
      <w:r>
        <w:rPr>
          <w:rStyle w:val="9"/>
          <w:rFonts w:hint="eastAsia" w:ascii="微软雅黑" w:hAnsi="微软雅黑" w:eastAsia="微软雅黑" w:cs="微软雅黑"/>
          <w:b w:val="0"/>
          <w:bCs/>
          <w:sz w:val="24"/>
          <w:szCs w:val="24"/>
        </w:rPr>
        <w:t>像画地图一样规划整个项目的模块，保证设计不遗漏关键部分。</w:t>
      </w:r>
    </w:p>
    <w:p w14:paraId="7C0E901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1080" w:leftChars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9"/>
          <w:rFonts w:hint="eastAsia" w:ascii="微软雅黑" w:hAnsi="微软雅黑" w:eastAsia="微软雅黑" w:cs="微软雅黑"/>
          <w:sz w:val="24"/>
          <w:szCs w:val="24"/>
        </w:rPr>
        <w:t>团队协作基础</w:t>
      </w:r>
      <w:r>
        <w:rPr>
          <w:rFonts w:hint="eastAsia" w:ascii="微软雅黑" w:hAnsi="微软雅黑" w:eastAsia="微软雅黑" w:cs="微软雅黑"/>
          <w:sz w:val="24"/>
          <w:szCs w:val="24"/>
        </w:rPr>
        <w:t>：通过和用户确认需求、评审原型，学会用别人听得懂的方式沟通设计意图。</w:t>
      </w:r>
    </w:p>
    <w:p w14:paraId="00DF2175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="0" w:leftChars="0" w:firstLine="420" w:firstLineChars="0"/>
        <w:jc w:val="left"/>
        <w:textAlignment w:val="auto"/>
        <w:rPr>
          <w:rStyle w:val="9"/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</w:rPr>
        <w:t>详细设计</w:t>
      </w: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  <w:lang w:eastAsia="zh-CN"/>
        </w:rPr>
        <w:t>：</w:t>
      </w: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</w:rPr>
        <w:t>培养“细节落地”能力​​</w:t>
      </w:r>
    </w:p>
    <w:p w14:paraId="237C302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1080" w:leftChars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9"/>
          <w:rFonts w:hint="eastAsia" w:ascii="微软雅黑" w:hAnsi="微软雅黑" w:eastAsia="微软雅黑" w:cs="微软雅黑"/>
          <w:sz w:val="24"/>
          <w:szCs w:val="24"/>
        </w:rPr>
        <w:t>技术严谨性</w:t>
      </w:r>
      <w:r>
        <w:rPr>
          <w:rFonts w:hint="eastAsia" w:ascii="微软雅黑" w:hAnsi="微软雅黑" w:eastAsia="微软雅黑" w:cs="微软雅黑"/>
          <w:sz w:val="24"/>
          <w:szCs w:val="24"/>
        </w:rPr>
        <w:t>：教学生写出“抗摔打”的代码，确保系统稳定可靠。</w:t>
      </w:r>
    </w:p>
    <w:p w14:paraId="231D71F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1080" w:leftChars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9"/>
          <w:rFonts w:hint="eastAsia" w:ascii="微软雅黑" w:hAnsi="微软雅黑" w:eastAsia="微软雅黑" w:cs="微软雅黑"/>
          <w:sz w:val="24"/>
          <w:szCs w:val="24"/>
        </w:rPr>
        <w:t>环保意识</w:t>
      </w:r>
      <w:r>
        <w:rPr>
          <w:rFonts w:hint="eastAsia" w:ascii="微软雅黑" w:hAnsi="微软雅黑" w:eastAsia="微软雅黑" w:cs="微软雅黑"/>
          <w:sz w:val="24"/>
          <w:szCs w:val="24"/>
        </w:rPr>
        <w:t>：设计时考虑资源节省，让软件更“绿色”。</w:t>
      </w:r>
    </w:p>
    <w:p w14:paraId="79604198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</w:rPr>
        <w:t>项目研究报告</w:t>
      </w: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  <w:lang w:eastAsia="zh-CN"/>
        </w:rPr>
        <w:t>：</w:t>
      </w: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</w:rPr>
        <w:t>培养“复盘优化”能力​</w:t>
      </w:r>
      <w:r>
        <w:rPr>
          <w:rFonts w:hint="eastAsia" w:ascii="微软雅黑" w:hAnsi="微软雅黑" w:eastAsia="微软雅黑" w:cs="微软雅黑"/>
          <w:sz w:val="24"/>
          <w:szCs w:val="24"/>
        </w:rPr>
        <w:t>​</w:t>
      </w:r>
    </w:p>
    <w:p w14:paraId="2FAA94E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1080" w:leftChars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9"/>
          <w:rFonts w:hint="eastAsia" w:ascii="微软雅黑" w:hAnsi="微软雅黑" w:eastAsia="微软雅黑" w:cs="微软雅黑"/>
          <w:sz w:val="24"/>
          <w:szCs w:val="24"/>
        </w:rPr>
        <w:t>问题诊断</w:t>
      </w:r>
      <w:r>
        <w:rPr>
          <w:rFonts w:hint="eastAsia" w:ascii="微软雅黑" w:hAnsi="微软雅黑" w:eastAsia="微软雅黑" w:cs="微软雅黑"/>
          <w:sz w:val="24"/>
          <w:szCs w:val="24"/>
        </w:rPr>
        <w:t>：像医生一样分析项目中的Bug，避免下次再犯。</w:t>
      </w:r>
    </w:p>
    <w:p w14:paraId="1F6958D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1080" w:leftChars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9"/>
          <w:rFonts w:hint="eastAsia" w:ascii="微软雅黑" w:hAnsi="微软雅黑" w:eastAsia="微软雅黑" w:cs="微软雅黑"/>
          <w:sz w:val="24"/>
          <w:szCs w:val="24"/>
        </w:rPr>
        <w:t>持续改进习惯</w:t>
      </w:r>
      <w:r>
        <w:rPr>
          <w:rFonts w:hint="eastAsia" w:ascii="微软雅黑" w:hAnsi="微软雅黑" w:eastAsia="微软雅黑" w:cs="微软雅黑"/>
          <w:sz w:val="24"/>
          <w:szCs w:val="24"/>
        </w:rPr>
        <w:t>：提出可落地的优化建议，推动项目越做越好。</w:t>
      </w:r>
    </w:p>
    <w:p w14:paraId="602A0F0B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</w:rPr>
        <w:t>答辩材料</w:t>
      </w: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  <w:lang w:eastAsia="zh-CN"/>
        </w:rPr>
        <w:t>：</w:t>
      </w: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</w:rPr>
        <w:t>培养“说服他人”能力​</w:t>
      </w:r>
      <w:r>
        <w:rPr>
          <w:rFonts w:hint="eastAsia" w:ascii="微软雅黑" w:hAnsi="微软雅黑" w:eastAsia="微软雅黑" w:cs="微软雅黑"/>
          <w:sz w:val="24"/>
          <w:szCs w:val="24"/>
        </w:rPr>
        <w:t>​</w:t>
      </w:r>
    </w:p>
    <w:p w14:paraId="781BBD2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1080" w:leftChars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9"/>
          <w:rFonts w:hint="eastAsia" w:ascii="微软雅黑" w:hAnsi="微软雅黑" w:eastAsia="微软雅黑" w:cs="微软雅黑"/>
          <w:sz w:val="24"/>
          <w:szCs w:val="24"/>
        </w:rPr>
        <w:t>清晰表达</w:t>
      </w:r>
      <w:r>
        <w:rPr>
          <w:rFonts w:hint="eastAsia" w:ascii="微软雅黑" w:hAnsi="微软雅黑" w:eastAsia="微软雅黑" w:cs="微软雅黑"/>
          <w:sz w:val="24"/>
          <w:szCs w:val="24"/>
        </w:rPr>
        <w:t>：用PPT和现场演示，把复杂技术讲得让外行也能听懂，锻炼“说人话”的能力。</w:t>
      </w:r>
    </w:p>
    <w:p w14:paraId="0AEA9DB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1080" w:leftChars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9"/>
          <w:rFonts w:hint="eastAsia" w:ascii="微软雅黑" w:hAnsi="微软雅黑" w:eastAsia="微软雅黑" w:cs="微软雅黑"/>
          <w:sz w:val="24"/>
          <w:szCs w:val="24"/>
        </w:rPr>
        <w:t>临场应变</w:t>
      </w:r>
      <w:r>
        <w:rPr>
          <w:rFonts w:hint="eastAsia" w:ascii="微软雅黑" w:hAnsi="微软雅黑" w:eastAsia="微软雅黑" w:cs="微软雅黑"/>
          <w:sz w:val="24"/>
          <w:szCs w:val="24"/>
        </w:rPr>
        <w:t>：回答评委尖锐提问，学会在压力下冷静解释。</w:t>
      </w:r>
    </w:p>
    <w:p w14:paraId="5CD75B3E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="0" w:leftChars="0" w:firstLine="420" w:firstLineChars="0"/>
        <w:jc w:val="left"/>
        <w:textAlignment w:val="auto"/>
        <w:rPr>
          <w:rStyle w:val="9"/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</w:rPr>
        <w:t>源代码</w:t>
      </w: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  <w:lang w:eastAsia="zh-CN"/>
        </w:rPr>
        <w:t>：</w:t>
      </w: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</w:rPr>
        <w:t>培养“突破创新”能力​​</w:t>
      </w:r>
    </w:p>
    <w:p w14:paraId="064E235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1080" w:leftChars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9"/>
          <w:rFonts w:hint="eastAsia" w:ascii="微软雅黑" w:hAnsi="微软雅黑" w:eastAsia="微软雅黑" w:cs="微软雅黑"/>
          <w:sz w:val="24"/>
          <w:szCs w:val="24"/>
        </w:rPr>
        <w:t>技术突破</w:t>
      </w:r>
      <w:r>
        <w:rPr>
          <w:rFonts w:hint="eastAsia" w:ascii="微软雅黑" w:hAnsi="微软雅黑" w:eastAsia="微软雅黑" w:cs="微软雅黑"/>
          <w:sz w:val="24"/>
          <w:szCs w:val="24"/>
        </w:rPr>
        <w:t>：鼓励学生用新方法解决老问题，练就“技术发明家”思维。</w:t>
      </w:r>
    </w:p>
    <w:p w14:paraId="263B1A3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1080" w:leftChars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9"/>
          <w:rFonts w:hint="eastAsia" w:ascii="微软雅黑" w:hAnsi="微软雅黑" w:eastAsia="微软雅黑" w:cs="微软雅黑"/>
          <w:sz w:val="24"/>
          <w:szCs w:val="24"/>
        </w:rPr>
        <w:t>功能创新</w:t>
      </w:r>
      <w:r>
        <w:rPr>
          <w:rFonts w:hint="eastAsia" w:ascii="微软雅黑" w:hAnsi="微软雅黑" w:eastAsia="微软雅黑" w:cs="微软雅黑"/>
          <w:sz w:val="24"/>
          <w:szCs w:val="24"/>
        </w:rPr>
        <w:t>：做出超出需求的“彩蛋功能”，让产品更贴心、更有竞争力。</w:t>
      </w:r>
    </w:p>
    <w:p w14:paraId="31F7BB7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right="72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​</w:t>
      </w:r>
      <w:r>
        <w:rPr>
          <w:rStyle w:val="9"/>
          <w:rFonts w:hint="eastAsia" w:ascii="微软雅黑" w:hAnsi="微软雅黑" w:eastAsia="微软雅黑" w:cs="微软雅黑"/>
          <w:sz w:val="24"/>
          <w:szCs w:val="24"/>
        </w:rPr>
        <w:t>​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​</w:t>
      </w:r>
      <w:r>
        <w:rPr>
          <w:rStyle w:val="9"/>
          <w:rFonts w:hint="eastAsia" w:ascii="微软雅黑" w:hAnsi="微软雅黑" w:eastAsia="微软雅黑" w:cs="微软雅黑"/>
          <w:sz w:val="24"/>
          <w:szCs w:val="24"/>
        </w:rPr>
        <w:t>​最终目标</w:t>
      </w:r>
      <w:r>
        <w:rPr>
          <w:rFonts w:hint="eastAsia" w:ascii="微软雅黑" w:hAnsi="微软雅黑" w:eastAsia="微软雅黑" w:cs="微软雅黑"/>
          <w:sz w:val="24"/>
          <w:szCs w:val="24"/>
        </w:rPr>
        <w:t>：让学生从“只会做题”变成“能扛项目、能创新、能负责”的工程师。</w:t>
      </w:r>
    </w:p>
    <w:p w14:paraId="559B95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Style w:val="9"/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占比分别为：</w:t>
      </w:r>
      <w:r>
        <w:rPr>
          <w:rFonts w:hint="eastAsia" w:ascii="微软雅黑" w:hAnsi="微软雅黑" w:eastAsia="微软雅黑" w:cs="微软雅黑"/>
          <w:sz w:val="24"/>
          <w:szCs w:val="24"/>
        </w:rPr>
        <w:t>需求分析报告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16%</w:t>
      </w:r>
      <w:r>
        <w:rPr>
          <w:rFonts w:hint="eastAsia" w:ascii="微软雅黑" w:hAnsi="微软雅黑" w:eastAsia="微软雅黑" w:cs="微软雅黑"/>
          <w:sz w:val="24"/>
          <w:szCs w:val="24"/>
        </w:rPr>
        <w:t>、概览设计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12%</w:t>
      </w:r>
      <w:r>
        <w:rPr>
          <w:rFonts w:hint="eastAsia" w:ascii="微软雅黑" w:hAnsi="微软雅黑" w:eastAsia="微软雅黑" w:cs="微软雅黑"/>
          <w:sz w:val="24"/>
          <w:szCs w:val="24"/>
        </w:rPr>
        <w:t>、详细设计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12%</w:t>
      </w:r>
      <w:r>
        <w:rPr>
          <w:rFonts w:hint="eastAsia" w:ascii="微软雅黑" w:hAnsi="微软雅黑" w:eastAsia="微软雅黑" w:cs="微软雅黑"/>
          <w:sz w:val="24"/>
          <w:szCs w:val="24"/>
        </w:rPr>
        <w:t>、项目研究报告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18%</w:t>
      </w:r>
      <w:r>
        <w:rPr>
          <w:rFonts w:hint="eastAsia" w:ascii="微软雅黑" w:hAnsi="微软雅黑" w:eastAsia="微软雅黑" w:cs="微软雅黑"/>
          <w:sz w:val="24"/>
          <w:szCs w:val="24"/>
        </w:rPr>
        <w:t>、答辩材料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18%</w:t>
      </w:r>
      <w:r>
        <w:rPr>
          <w:rFonts w:hint="eastAsia" w:ascii="微软雅黑" w:hAnsi="微软雅黑" w:eastAsia="微软雅黑" w:cs="微软雅黑"/>
          <w:sz w:val="24"/>
          <w:szCs w:val="24"/>
        </w:rPr>
        <w:t>、源代码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24%。</w:t>
      </w:r>
    </w:p>
    <w:p w14:paraId="165BEA4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br w:type="page"/>
      </w:r>
    </w:p>
    <w:p w14:paraId="2BAD0049">
      <w:pPr>
        <w:pStyle w:val="4"/>
        <w:numPr>
          <w:ilvl w:val="0"/>
          <w:numId w:val="3"/>
        </w:numPr>
        <w:ind w:left="0" w:leftChars="0" w:firstLine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需求分析报告（100分）</w:t>
      </w:r>
    </w:p>
    <w:tbl>
      <w:tblPr>
        <w:tblStyle w:val="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2653"/>
        <w:gridCol w:w="1174"/>
        <w:gridCol w:w="2979"/>
      </w:tblGrid>
      <w:tr w14:paraId="273E0F3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  <w:vAlign w:val="center"/>
          </w:tcPr>
          <w:p w14:paraId="4F3404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评分项</w:t>
            </w:r>
          </w:p>
        </w:tc>
        <w:tc>
          <w:tcPr>
            <w:tcW w:w="2653" w:type="dxa"/>
            <w:vAlign w:val="center"/>
          </w:tcPr>
          <w:p w14:paraId="7BD119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评分标准</w:t>
            </w:r>
          </w:p>
        </w:tc>
        <w:tc>
          <w:tcPr>
            <w:tcW w:w="1174" w:type="dxa"/>
            <w:vAlign w:val="center"/>
          </w:tcPr>
          <w:p w14:paraId="4E1340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分值</w:t>
            </w:r>
          </w:p>
        </w:tc>
        <w:tc>
          <w:tcPr>
            <w:tcW w:w="2979" w:type="dxa"/>
            <w:vAlign w:val="center"/>
          </w:tcPr>
          <w:p w14:paraId="3246EB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等级说明</w:t>
            </w:r>
          </w:p>
        </w:tc>
      </w:tr>
      <w:tr w14:paraId="7E92711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  <w:vAlign w:val="center"/>
          </w:tcPr>
          <w:p w14:paraId="389D75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技术可行性</w:t>
            </w:r>
          </w:p>
        </w:tc>
        <w:tc>
          <w:tcPr>
            <w:tcW w:w="2653" w:type="dxa"/>
            <w:vAlign w:val="center"/>
          </w:tcPr>
          <w:p w14:paraId="676494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技术方案成熟度、技术栈选型合理性、与现有系统兼容性、技术难点解决方案可行性</w:t>
            </w:r>
          </w:p>
        </w:tc>
        <w:tc>
          <w:tcPr>
            <w:tcW w:w="1174" w:type="dxa"/>
            <w:vAlign w:val="center"/>
          </w:tcPr>
          <w:p w14:paraId="10C90A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30</w:t>
            </w:r>
          </w:p>
        </w:tc>
        <w:tc>
          <w:tcPr>
            <w:tcW w:w="2979" w:type="dxa"/>
            <w:vAlign w:val="center"/>
          </w:tcPr>
          <w:p w14:paraId="732060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优秀（27-30）：方案成熟且创新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CN"/>
              </w:rPr>
              <w:t>；</w:t>
            </w:r>
          </w:p>
          <w:p w14:paraId="0AAFFE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不及格（&lt;18）：技术选型严重脱离实际。</w:t>
            </w:r>
          </w:p>
        </w:tc>
      </w:tr>
      <w:tr w14:paraId="15ADE37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  <w:vAlign w:val="center"/>
          </w:tcPr>
          <w:p w14:paraId="5ADAE4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经济可行性</w:t>
            </w:r>
          </w:p>
        </w:tc>
        <w:tc>
          <w:tcPr>
            <w:tcW w:w="2653" w:type="dxa"/>
            <w:vAlign w:val="center"/>
          </w:tcPr>
          <w:p w14:paraId="7E241C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成本估算准确性（开发/维护/硬件）、投入产出比分析、资源优化配置方案</w:t>
            </w:r>
          </w:p>
        </w:tc>
        <w:tc>
          <w:tcPr>
            <w:tcW w:w="1174" w:type="dxa"/>
            <w:vAlign w:val="center"/>
          </w:tcPr>
          <w:p w14:paraId="12EABB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20</w:t>
            </w:r>
          </w:p>
        </w:tc>
        <w:tc>
          <w:tcPr>
            <w:tcW w:w="2979" w:type="dxa"/>
            <w:vAlign w:val="center"/>
          </w:tcPr>
          <w:p w14:paraId="1502F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优秀（18-20）：成本控制严谨；</w:t>
            </w:r>
          </w:p>
          <w:p w14:paraId="53D2BC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不及格（&lt;12）：预算超支且无合理依据。</w:t>
            </w:r>
          </w:p>
        </w:tc>
      </w:tr>
      <w:tr w14:paraId="783CC1A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  <w:vAlign w:val="center"/>
          </w:tcPr>
          <w:p w14:paraId="187D76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操作可行性</w:t>
            </w:r>
          </w:p>
        </w:tc>
        <w:tc>
          <w:tcPr>
            <w:tcW w:w="2653" w:type="dxa"/>
            <w:vAlign w:val="center"/>
          </w:tcPr>
          <w:p w14:paraId="44F550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用户学习成本评估、操作流程简化程度、与用户习惯匹配度</w:t>
            </w:r>
          </w:p>
        </w:tc>
        <w:tc>
          <w:tcPr>
            <w:tcW w:w="1174" w:type="dxa"/>
            <w:vAlign w:val="center"/>
          </w:tcPr>
          <w:p w14:paraId="61AB0A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10</w:t>
            </w:r>
          </w:p>
        </w:tc>
        <w:tc>
          <w:tcPr>
            <w:tcW w:w="2979" w:type="dxa"/>
            <w:vAlign w:val="center"/>
          </w:tcPr>
          <w:p w14:paraId="7CE22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优秀（9-10）：用户体验无缝衔接；</w:t>
            </w:r>
          </w:p>
          <w:p w14:paraId="008B90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不及格（&lt;6）：操作流程复杂且未优化。</w:t>
            </w:r>
          </w:p>
        </w:tc>
      </w:tr>
      <w:tr w14:paraId="00DDDE4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  <w:vAlign w:val="center"/>
          </w:tcPr>
          <w:p w14:paraId="7C48C6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法律可行性</w:t>
            </w:r>
          </w:p>
        </w:tc>
        <w:tc>
          <w:tcPr>
            <w:tcW w:w="2653" w:type="dxa"/>
            <w:vAlign w:val="center"/>
          </w:tcPr>
          <w:p w14:paraId="2C99CC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数据合规性、知识产权风险规避、政策法规符合性</w:t>
            </w:r>
          </w:p>
        </w:tc>
        <w:tc>
          <w:tcPr>
            <w:tcW w:w="1174" w:type="dxa"/>
            <w:vAlign w:val="center"/>
          </w:tcPr>
          <w:p w14:paraId="326D93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10</w:t>
            </w:r>
          </w:p>
        </w:tc>
        <w:tc>
          <w:tcPr>
            <w:tcW w:w="2979" w:type="dxa"/>
            <w:vAlign w:val="center"/>
          </w:tcPr>
          <w:p w14:paraId="76D4CC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优秀（9-10）：全面规避法律风险；</w:t>
            </w:r>
          </w:p>
          <w:p w14:paraId="587E55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不及格（&lt;6）：存在侵权或合规漏洞。</w:t>
            </w:r>
          </w:p>
        </w:tc>
      </w:tr>
      <w:tr w14:paraId="0512ED6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  <w:vAlign w:val="center"/>
          </w:tcPr>
          <w:p w14:paraId="60EC63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时间可行性</w:t>
            </w:r>
          </w:p>
        </w:tc>
        <w:tc>
          <w:tcPr>
            <w:tcW w:w="2653" w:type="dxa"/>
            <w:vAlign w:val="center"/>
          </w:tcPr>
          <w:p w14:paraId="238A88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开发周期合理性、里程碑计划可行性、应急时间缓冲设计</w:t>
            </w:r>
          </w:p>
        </w:tc>
        <w:tc>
          <w:tcPr>
            <w:tcW w:w="1174" w:type="dxa"/>
            <w:vAlign w:val="center"/>
          </w:tcPr>
          <w:p w14:paraId="2EAFAF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10</w:t>
            </w:r>
          </w:p>
        </w:tc>
        <w:tc>
          <w:tcPr>
            <w:tcW w:w="2979" w:type="dxa"/>
            <w:vAlign w:val="center"/>
          </w:tcPr>
          <w:p w14:paraId="43C155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优秀（9-10）：计划周密缓冲充分；</w:t>
            </w:r>
          </w:p>
          <w:p w14:paraId="7F7267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不及格（&lt;6）：周期脱离实际且无应急措施。</w:t>
            </w:r>
          </w:p>
        </w:tc>
      </w:tr>
      <w:tr w14:paraId="1850233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  <w:vAlign w:val="center"/>
          </w:tcPr>
          <w:p w14:paraId="280F55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文档规范性</w:t>
            </w:r>
          </w:p>
        </w:tc>
        <w:tc>
          <w:tcPr>
            <w:tcW w:w="2653" w:type="dxa"/>
            <w:vAlign w:val="center"/>
          </w:tcPr>
          <w:p w14:paraId="65368B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结构清晰（含背景/目标/术语）、逻辑严谨无矛盾、图表规范、版本管理完整</w:t>
            </w:r>
          </w:p>
        </w:tc>
        <w:tc>
          <w:tcPr>
            <w:tcW w:w="1174" w:type="dxa"/>
            <w:vAlign w:val="center"/>
          </w:tcPr>
          <w:p w14:paraId="2AAFDD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20</w:t>
            </w:r>
          </w:p>
        </w:tc>
        <w:tc>
          <w:tcPr>
            <w:tcW w:w="2979" w:type="dxa"/>
            <w:vAlign w:val="center"/>
          </w:tcPr>
          <w:p w14:paraId="117411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优秀（18-20）：逻辑清晰图表专业；</w:t>
            </w:r>
          </w:p>
          <w:p w14:paraId="452CA5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不及格（&lt;12）：结构混乱无版本管理。</w:t>
            </w:r>
          </w:p>
        </w:tc>
      </w:tr>
    </w:tbl>
    <w:p w14:paraId="44309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4D1C6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62258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说明：技术可行性需提供技术对比分析；法律可行性需明确数据来源合法性。</w:t>
      </w:r>
    </w:p>
    <w:p w14:paraId="21FB55E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br w:type="page"/>
      </w:r>
    </w:p>
    <w:p w14:paraId="7E8598F9">
      <w:pPr>
        <w:pStyle w:val="4"/>
        <w:numPr>
          <w:ilvl w:val="0"/>
          <w:numId w:val="3"/>
        </w:numPr>
        <w:ind w:left="0" w:leftChars="0" w:firstLine="420" w:firstLineChars="0"/>
        <w:jc w:val="left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概览设计（100分）</w:t>
      </w:r>
    </w:p>
    <w:tbl>
      <w:tblPr>
        <w:tblStyle w:val="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7"/>
        <w:gridCol w:w="2661"/>
        <w:gridCol w:w="1162"/>
        <w:gridCol w:w="2983"/>
      </w:tblGrid>
      <w:tr w14:paraId="5334E36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7" w:type="dxa"/>
            <w:vAlign w:val="center"/>
          </w:tcPr>
          <w:p w14:paraId="1582BC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评分项</w:t>
            </w:r>
          </w:p>
        </w:tc>
        <w:tc>
          <w:tcPr>
            <w:tcW w:w="2661" w:type="dxa"/>
            <w:vAlign w:val="center"/>
          </w:tcPr>
          <w:p w14:paraId="1CED59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评分标准</w:t>
            </w:r>
          </w:p>
        </w:tc>
        <w:tc>
          <w:tcPr>
            <w:tcW w:w="1162" w:type="dxa"/>
            <w:vAlign w:val="center"/>
          </w:tcPr>
          <w:p w14:paraId="5CD375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分值</w:t>
            </w:r>
          </w:p>
        </w:tc>
        <w:tc>
          <w:tcPr>
            <w:tcW w:w="2983" w:type="dxa"/>
            <w:vAlign w:val="center"/>
          </w:tcPr>
          <w:p w14:paraId="2CCBD2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60" w:lineRule="auto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等级说明</w:t>
            </w:r>
          </w:p>
        </w:tc>
      </w:tr>
      <w:tr w14:paraId="2F5B3D7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7" w:type="dxa"/>
            <w:vAlign w:val="center"/>
          </w:tcPr>
          <w:p w14:paraId="46A642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完整性</w:t>
            </w:r>
          </w:p>
        </w:tc>
        <w:tc>
          <w:tcPr>
            <w:tcW w:w="2661" w:type="dxa"/>
            <w:vAlign w:val="center"/>
          </w:tcPr>
          <w:p w14:paraId="3D5D10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覆盖全部核心模块（架构图/接口定义/数据流）、非功能需求设计</w:t>
            </w:r>
          </w:p>
        </w:tc>
        <w:tc>
          <w:tcPr>
            <w:tcW w:w="1162" w:type="dxa"/>
            <w:vAlign w:val="center"/>
          </w:tcPr>
          <w:p w14:paraId="584DF6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40</w:t>
            </w:r>
          </w:p>
        </w:tc>
        <w:tc>
          <w:tcPr>
            <w:tcW w:w="2983" w:type="dxa"/>
            <w:vAlign w:val="center"/>
          </w:tcPr>
          <w:p w14:paraId="474E2F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优秀（36-40）：模块无遗漏且非功能需求完备；</w:t>
            </w:r>
          </w:p>
          <w:p w14:paraId="47A4F5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不及格（&lt;24）：核心模块缺失。</w:t>
            </w:r>
          </w:p>
        </w:tc>
      </w:tr>
      <w:tr w14:paraId="4AE845B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7" w:type="dxa"/>
            <w:vAlign w:val="center"/>
          </w:tcPr>
          <w:p w14:paraId="1EADC1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优先级和稳定性</w:t>
            </w:r>
          </w:p>
        </w:tc>
        <w:tc>
          <w:tcPr>
            <w:tcW w:w="2661" w:type="dxa"/>
            <w:vAlign w:val="center"/>
          </w:tcPr>
          <w:p w14:paraId="053720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功能模块分级合理、高内聚低耦合设计、需求变更影响范围控制</w:t>
            </w:r>
          </w:p>
        </w:tc>
        <w:tc>
          <w:tcPr>
            <w:tcW w:w="1162" w:type="dxa"/>
            <w:vAlign w:val="center"/>
          </w:tcPr>
          <w:p w14:paraId="3F1BB6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10</w:t>
            </w:r>
          </w:p>
        </w:tc>
        <w:tc>
          <w:tcPr>
            <w:tcW w:w="2983" w:type="dxa"/>
            <w:vAlign w:val="center"/>
          </w:tcPr>
          <w:p w14:paraId="5B7245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优秀（9-10）：扩展性强变更影响小；</w:t>
            </w:r>
          </w:p>
          <w:p w14:paraId="140CCF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不及格（&lt;6）：模块耦合度高且无分级。</w:t>
            </w:r>
          </w:p>
        </w:tc>
      </w:tr>
      <w:tr w14:paraId="3AF287E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7" w:type="dxa"/>
            <w:vAlign w:val="center"/>
          </w:tcPr>
          <w:p w14:paraId="1B20F3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风险评估</w:t>
            </w:r>
          </w:p>
        </w:tc>
        <w:tc>
          <w:tcPr>
            <w:tcW w:w="2661" w:type="dxa"/>
            <w:vAlign w:val="center"/>
          </w:tcPr>
          <w:p w14:paraId="5734E9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技术/资源/进度风险全面识别、应对措施有效性（备选方案/监控机制）</w:t>
            </w:r>
          </w:p>
        </w:tc>
        <w:tc>
          <w:tcPr>
            <w:tcW w:w="1162" w:type="dxa"/>
            <w:vAlign w:val="center"/>
          </w:tcPr>
          <w:p w14:paraId="691CE5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10</w:t>
            </w:r>
          </w:p>
        </w:tc>
        <w:tc>
          <w:tcPr>
            <w:tcW w:w="2983" w:type="dxa"/>
            <w:vAlign w:val="center"/>
          </w:tcPr>
          <w:p w14:paraId="28992D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优秀（9-10）：量化风险概率与影响；</w:t>
            </w:r>
          </w:p>
          <w:p w14:paraId="14926E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不及格（&lt;6）：风险识别不全无应对措施。</w:t>
            </w:r>
          </w:p>
        </w:tc>
      </w:tr>
      <w:tr w14:paraId="0BF1010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7" w:type="dxa"/>
            <w:vAlign w:val="center"/>
          </w:tcPr>
          <w:p w14:paraId="03A6F7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文档结构和格式</w:t>
            </w:r>
          </w:p>
        </w:tc>
        <w:tc>
          <w:tcPr>
            <w:tcW w:w="2661" w:type="dxa"/>
            <w:vAlign w:val="center"/>
          </w:tcPr>
          <w:p w14:paraId="65E6A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符合标准模板（目录/图表索引/版本号）、术语统一、逻辑分层清晰</w:t>
            </w:r>
          </w:p>
        </w:tc>
        <w:tc>
          <w:tcPr>
            <w:tcW w:w="1162" w:type="dxa"/>
            <w:vAlign w:val="center"/>
          </w:tcPr>
          <w:p w14:paraId="535A56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20</w:t>
            </w:r>
          </w:p>
        </w:tc>
        <w:tc>
          <w:tcPr>
            <w:tcW w:w="2983" w:type="dxa"/>
            <w:vAlign w:val="center"/>
          </w:tcPr>
          <w:p w14:paraId="54246C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优秀（18-20）：格式专业术语一致；</w:t>
            </w:r>
          </w:p>
          <w:p w14:paraId="2BD650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不及格（&lt;12）：模板混乱无逻辑分层。</w:t>
            </w:r>
          </w:p>
        </w:tc>
      </w:tr>
      <w:tr w14:paraId="7D38B44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7" w:type="dxa"/>
            <w:vAlign w:val="center"/>
          </w:tcPr>
          <w:p w14:paraId="0AED73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用户参与度</w:t>
            </w:r>
          </w:p>
        </w:tc>
        <w:tc>
          <w:tcPr>
            <w:tcW w:w="2661" w:type="dxa"/>
            <w:vAlign w:val="center"/>
          </w:tcPr>
          <w:p w14:paraId="7B59A6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需求确认记录（用户签字/反馈）、原型设计评审痕迹、用户场景覆盖度</w:t>
            </w:r>
          </w:p>
        </w:tc>
        <w:tc>
          <w:tcPr>
            <w:tcW w:w="1162" w:type="dxa"/>
            <w:vAlign w:val="center"/>
          </w:tcPr>
          <w:p w14:paraId="67339D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20</w:t>
            </w:r>
          </w:p>
        </w:tc>
        <w:tc>
          <w:tcPr>
            <w:tcW w:w="2983" w:type="dxa"/>
            <w:vAlign w:val="center"/>
          </w:tcPr>
          <w:p w14:paraId="5E6364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优秀（18-20）：用户全程参与并确认；</w:t>
            </w:r>
          </w:p>
          <w:p w14:paraId="1A0878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不及格（&lt;12）：无用户反馈记录。</w:t>
            </w:r>
          </w:p>
        </w:tc>
      </w:tr>
    </w:tbl>
    <w:p w14:paraId="63A5C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7E5F6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说明：风险评估需量化概率与影响；用户参与度需提供沟通记录。</w:t>
      </w:r>
    </w:p>
    <w:p w14:paraId="20183D9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br w:type="page"/>
      </w:r>
    </w:p>
    <w:p w14:paraId="465C117B">
      <w:pPr>
        <w:pStyle w:val="4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="0" w:leftChars="0" w:firstLine="420" w:firstLineChars="0"/>
        <w:jc w:val="left"/>
        <w:textAlignment w:val="auto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详细设计（100分）</w:t>
      </w:r>
    </w:p>
    <w:tbl>
      <w:tblPr>
        <w:tblStyle w:val="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4"/>
        <w:gridCol w:w="3001"/>
        <w:gridCol w:w="708"/>
        <w:gridCol w:w="3417"/>
      </w:tblGrid>
      <w:tr w14:paraId="3A6949F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54" w:type="dxa"/>
            <w:vAlign w:val="center"/>
          </w:tcPr>
          <w:p w14:paraId="2A15F2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评分项</w:t>
            </w:r>
          </w:p>
        </w:tc>
        <w:tc>
          <w:tcPr>
            <w:tcW w:w="3001" w:type="dxa"/>
            <w:vAlign w:val="center"/>
          </w:tcPr>
          <w:p w14:paraId="329964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评分标准</w:t>
            </w:r>
          </w:p>
        </w:tc>
        <w:tc>
          <w:tcPr>
            <w:tcW w:w="708" w:type="dxa"/>
            <w:vAlign w:val="center"/>
          </w:tcPr>
          <w:p w14:paraId="2A4AA5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分值</w:t>
            </w:r>
          </w:p>
        </w:tc>
        <w:tc>
          <w:tcPr>
            <w:tcW w:w="3417" w:type="dxa"/>
            <w:vAlign w:val="center"/>
          </w:tcPr>
          <w:p w14:paraId="46363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等级说明</w:t>
            </w:r>
          </w:p>
        </w:tc>
      </w:tr>
      <w:tr w14:paraId="7C4C17C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  <w:vAlign w:val="center"/>
          </w:tcPr>
          <w:p w14:paraId="68F939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完整性</w:t>
            </w:r>
          </w:p>
        </w:tc>
        <w:tc>
          <w:tcPr>
            <w:tcW w:w="3001" w:type="dxa"/>
            <w:vAlign w:val="center"/>
          </w:tcPr>
          <w:p w14:paraId="517D54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每个模块的输入/输出/处理逻辑、异常处理机制、接口参数细节</w:t>
            </w:r>
          </w:p>
        </w:tc>
        <w:tc>
          <w:tcPr>
            <w:tcW w:w="708" w:type="dxa"/>
            <w:vAlign w:val="center"/>
          </w:tcPr>
          <w:p w14:paraId="1F9D61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20</w:t>
            </w:r>
          </w:p>
        </w:tc>
        <w:tc>
          <w:tcPr>
            <w:tcW w:w="3417" w:type="dxa"/>
            <w:vAlign w:val="center"/>
          </w:tcPr>
          <w:p w14:paraId="1932A6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优秀（18-20）：逻辑全覆盖异常处理完备；</w:t>
            </w:r>
          </w:p>
          <w:p w14:paraId="46B0C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不及格（&lt;12）：关键逻辑缺失。</w:t>
            </w:r>
          </w:p>
        </w:tc>
      </w:tr>
      <w:tr w14:paraId="54568D1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  <w:vAlign w:val="center"/>
          </w:tcPr>
          <w:p w14:paraId="16AEFA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一致性</w:t>
            </w:r>
          </w:p>
        </w:tc>
        <w:tc>
          <w:tcPr>
            <w:tcW w:w="3001" w:type="dxa"/>
            <w:vAlign w:val="center"/>
          </w:tcPr>
          <w:p w14:paraId="041333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与概览设计无冲突、命名规范统一（类/变量/数据库字段）</w:t>
            </w:r>
          </w:p>
        </w:tc>
        <w:tc>
          <w:tcPr>
            <w:tcW w:w="708" w:type="dxa"/>
            <w:vAlign w:val="center"/>
          </w:tcPr>
          <w:p w14:paraId="0F2BE6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10</w:t>
            </w:r>
          </w:p>
        </w:tc>
        <w:tc>
          <w:tcPr>
            <w:tcW w:w="3417" w:type="dxa"/>
            <w:vAlign w:val="center"/>
          </w:tcPr>
          <w:p w14:paraId="1129C7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优秀（9-10）：命名规范无冲突；</w:t>
            </w:r>
          </w:p>
          <w:p w14:paraId="7DE20A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不及格（&lt;6）：命名混乱与概览设计矛盾。</w:t>
            </w:r>
          </w:p>
        </w:tc>
      </w:tr>
      <w:tr w14:paraId="51925D6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  <w:vAlign w:val="center"/>
          </w:tcPr>
          <w:p w14:paraId="268F25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可扩展性和灵活性</w:t>
            </w:r>
          </w:p>
        </w:tc>
        <w:tc>
          <w:tcPr>
            <w:tcW w:w="3001" w:type="dxa"/>
            <w:vAlign w:val="center"/>
          </w:tcPr>
          <w:p w14:paraId="1243A5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支持模块插拔、配置驱动能力（非硬编码）</w:t>
            </w:r>
          </w:p>
        </w:tc>
        <w:tc>
          <w:tcPr>
            <w:tcW w:w="708" w:type="dxa"/>
            <w:vAlign w:val="center"/>
          </w:tcPr>
          <w:p w14:paraId="2786E1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10</w:t>
            </w:r>
          </w:p>
        </w:tc>
        <w:tc>
          <w:tcPr>
            <w:tcW w:w="3417" w:type="dxa"/>
            <w:vAlign w:val="center"/>
          </w:tcPr>
          <w:p w14:paraId="11B3EC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优秀（9-10）：配置灵活支持热插拔；</w:t>
            </w:r>
          </w:p>
          <w:p w14:paraId="1AE15B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不及格（&lt;6）：硬编码扩展性差。</w:t>
            </w:r>
          </w:p>
        </w:tc>
      </w:tr>
      <w:tr w14:paraId="7512CC2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  <w:vAlign w:val="center"/>
          </w:tcPr>
          <w:p w14:paraId="497C73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可靠性与安全性</w:t>
            </w:r>
          </w:p>
        </w:tc>
        <w:tc>
          <w:tcPr>
            <w:tcW w:w="3001" w:type="dxa"/>
            <w:vAlign w:val="center"/>
          </w:tcPr>
          <w:p w14:paraId="58BCA6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容错机制（超时/重试）、数据加密方案、权限控制粒度</w:t>
            </w:r>
          </w:p>
        </w:tc>
        <w:tc>
          <w:tcPr>
            <w:tcW w:w="708" w:type="dxa"/>
            <w:vAlign w:val="center"/>
          </w:tcPr>
          <w:p w14:paraId="6CC61F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10</w:t>
            </w:r>
          </w:p>
        </w:tc>
        <w:tc>
          <w:tcPr>
            <w:tcW w:w="3417" w:type="dxa"/>
            <w:vAlign w:val="center"/>
          </w:tcPr>
          <w:p w14:paraId="79A2DB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优秀（9-10）：加密与容错双重保障；</w:t>
            </w:r>
          </w:p>
          <w:p w14:paraId="3845FD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不及格（&lt;6）：无容错机制权限混乱。</w:t>
            </w:r>
          </w:p>
        </w:tc>
      </w:tr>
      <w:tr w14:paraId="5F1EE99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  <w:vAlign w:val="center"/>
          </w:tcPr>
          <w:p w14:paraId="7E5D97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性能优化</w:t>
            </w:r>
          </w:p>
        </w:tc>
        <w:tc>
          <w:tcPr>
            <w:tcW w:w="3001" w:type="dxa"/>
            <w:vAlign w:val="center"/>
          </w:tcPr>
          <w:p w14:paraId="5AF281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关键路径耗时分析（如SQL优化/缓存策略）、资源占用监控设计</w:t>
            </w:r>
          </w:p>
        </w:tc>
        <w:tc>
          <w:tcPr>
            <w:tcW w:w="708" w:type="dxa"/>
            <w:vAlign w:val="center"/>
          </w:tcPr>
          <w:p w14:paraId="241707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10</w:t>
            </w:r>
          </w:p>
        </w:tc>
        <w:tc>
          <w:tcPr>
            <w:tcW w:w="3417" w:type="dxa"/>
            <w:vAlign w:val="center"/>
          </w:tcPr>
          <w:p w14:paraId="433DB7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优秀（9-10）：优化方案有基准测试；</w:t>
            </w:r>
          </w:p>
          <w:p w14:paraId="725C40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不及格（&lt;6）：未识别性能瓶颈。</w:t>
            </w:r>
          </w:p>
        </w:tc>
      </w:tr>
      <w:tr w14:paraId="45F175B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  <w:vAlign w:val="center"/>
          </w:tcPr>
          <w:p w14:paraId="35F0F5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可读性和可维护性</w:t>
            </w:r>
          </w:p>
        </w:tc>
        <w:tc>
          <w:tcPr>
            <w:tcW w:w="3001" w:type="dxa"/>
            <w:vAlign w:val="center"/>
          </w:tcPr>
          <w:p w14:paraId="23ACC5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代码注释覆盖率≥80%、模块化拆分（函数/类职责单一）、依赖关系可视化</w:t>
            </w:r>
          </w:p>
        </w:tc>
        <w:tc>
          <w:tcPr>
            <w:tcW w:w="708" w:type="dxa"/>
            <w:vAlign w:val="center"/>
          </w:tcPr>
          <w:p w14:paraId="00F685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10</w:t>
            </w:r>
          </w:p>
        </w:tc>
        <w:tc>
          <w:tcPr>
            <w:tcW w:w="3417" w:type="dxa"/>
            <w:vAlign w:val="center"/>
          </w:tcPr>
          <w:p w14:paraId="57F9A0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优秀（9-10）：注释覆盖核心算法；&lt;br&gt;不及格（&lt;6）：无注释模块职责混杂。</w:t>
            </w:r>
          </w:p>
        </w:tc>
      </w:tr>
      <w:tr w14:paraId="4729524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  <w:vAlign w:val="center"/>
          </w:tcPr>
          <w:p w14:paraId="3413D7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标准化与规范性</w:t>
            </w:r>
          </w:p>
        </w:tc>
        <w:tc>
          <w:tcPr>
            <w:tcW w:w="3001" w:type="dxa"/>
            <w:vAlign w:val="center"/>
          </w:tcPr>
          <w:p w14:paraId="10BDF7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符合行业设计规范、代码风格检查、设计模式应用合理性</w:t>
            </w:r>
          </w:p>
        </w:tc>
        <w:tc>
          <w:tcPr>
            <w:tcW w:w="708" w:type="dxa"/>
            <w:vAlign w:val="center"/>
          </w:tcPr>
          <w:p w14:paraId="727A80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20</w:t>
            </w:r>
          </w:p>
        </w:tc>
        <w:tc>
          <w:tcPr>
            <w:tcW w:w="3417" w:type="dxa"/>
            <w:vAlign w:val="center"/>
          </w:tcPr>
          <w:p w14:paraId="18AAFA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优秀（18-20）：规范全落地设计模式合理；</w:t>
            </w:r>
          </w:p>
          <w:p w14:paraId="546415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不及格（&lt;12）：无规范检查。</w:t>
            </w:r>
          </w:p>
        </w:tc>
      </w:tr>
      <w:tr w14:paraId="43E1730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  <w:vAlign w:val="center"/>
          </w:tcPr>
          <w:p w14:paraId="4970BC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复用性和兼容性</w:t>
            </w:r>
          </w:p>
        </w:tc>
        <w:tc>
          <w:tcPr>
            <w:tcW w:w="3001" w:type="dxa"/>
            <w:vAlign w:val="center"/>
          </w:tcPr>
          <w:p w14:paraId="373BF0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公共组件抽取、跨平台适配方案（Web/移动端）、API版本兼容策略</w:t>
            </w:r>
          </w:p>
        </w:tc>
        <w:tc>
          <w:tcPr>
            <w:tcW w:w="708" w:type="dxa"/>
            <w:vAlign w:val="center"/>
          </w:tcPr>
          <w:p w14:paraId="5637D1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10</w:t>
            </w:r>
          </w:p>
        </w:tc>
        <w:tc>
          <w:tcPr>
            <w:tcW w:w="3417" w:type="dxa"/>
            <w:vAlign w:val="center"/>
          </w:tcPr>
          <w:p w14:paraId="01A715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优秀（9-10）：组件复用跨平台兼容；</w:t>
            </w:r>
          </w:p>
          <w:p w14:paraId="2D1F5F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不及格（&lt;6）：无公共组件无兼容策略。</w:t>
            </w:r>
          </w:p>
        </w:tc>
      </w:tr>
    </w:tbl>
    <w:p w14:paraId="35751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说明：性能优化需提供基准测试依据；可读性要求注释覆盖核心算法。</w:t>
      </w:r>
    </w:p>
    <w:p w14:paraId="163CDC1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br w:type="page"/>
      </w:r>
    </w:p>
    <w:p w14:paraId="369D781E">
      <w:pPr>
        <w:pStyle w:val="4"/>
        <w:numPr>
          <w:ilvl w:val="0"/>
          <w:numId w:val="3"/>
        </w:numPr>
        <w:ind w:left="0" w:leftChars="0" w:firstLine="420" w:firstLineChars="0"/>
        <w:jc w:val="left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项目研究报告（100分）</w:t>
      </w:r>
    </w:p>
    <w:tbl>
      <w:tblPr>
        <w:tblStyle w:val="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8"/>
        <w:gridCol w:w="2654"/>
        <w:gridCol w:w="1168"/>
        <w:gridCol w:w="3005"/>
      </w:tblGrid>
      <w:tr w14:paraId="45D12EA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8" w:type="dxa"/>
            <w:vAlign w:val="center"/>
          </w:tcPr>
          <w:p w14:paraId="4C689C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评分项</w:t>
            </w:r>
          </w:p>
        </w:tc>
        <w:tc>
          <w:tcPr>
            <w:tcW w:w="2654" w:type="dxa"/>
            <w:vAlign w:val="center"/>
          </w:tcPr>
          <w:p w14:paraId="7B4775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评分标准</w:t>
            </w:r>
          </w:p>
        </w:tc>
        <w:tc>
          <w:tcPr>
            <w:tcW w:w="1168" w:type="dxa"/>
            <w:vAlign w:val="center"/>
          </w:tcPr>
          <w:p w14:paraId="6B4502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分值</w:t>
            </w:r>
          </w:p>
        </w:tc>
        <w:tc>
          <w:tcPr>
            <w:tcW w:w="3005" w:type="dxa"/>
            <w:vAlign w:val="center"/>
          </w:tcPr>
          <w:p w14:paraId="5BD041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等级说明</w:t>
            </w:r>
          </w:p>
        </w:tc>
      </w:tr>
      <w:tr w14:paraId="1A7D53F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8" w:type="dxa"/>
            <w:vAlign w:val="center"/>
          </w:tcPr>
          <w:p w14:paraId="144EE5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完整性</w:t>
            </w:r>
          </w:p>
        </w:tc>
        <w:tc>
          <w:tcPr>
            <w:tcW w:w="2654" w:type="dxa"/>
            <w:vAlign w:val="center"/>
          </w:tcPr>
          <w:p w14:paraId="252D30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涵盖背景/目标/方法/结果/结论、数据采集过程透明、第三方工具引用标注</w:t>
            </w:r>
          </w:p>
        </w:tc>
        <w:tc>
          <w:tcPr>
            <w:tcW w:w="1168" w:type="dxa"/>
            <w:vAlign w:val="center"/>
          </w:tcPr>
          <w:p w14:paraId="05C3AE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40</w:t>
            </w:r>
          </w:p>
        </w:tc>
        <w:tc>
          <w:tcPr>
            <w:tcW w:w="3005" w:type="dxa"/>
            <w:vAlign w:val="center"/>
          </w:tcPr>
          <w:p w14:paraId="78C90D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优秀（36-40）：全流程闭环数据可追溯；</w:t>
            </w:r>
          </w:p>
          <w:p w14:paraId="1ECB57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及格（&lt;24）：结论缺失数据不透明。</w:t>
            </w:r>
          </w:p>
        </w:tc>
      </w:tr>
      <w:tr w14:paraId="1AE5A6A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8" w:type="dxa"/>
            <w:vAlign w:val="center"/>
          </w:tcPr>
          <w:p w14:paraId="6CBAED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缺陷分析与跟踪</w:t>
            </w:r>
          </w:p>
        </w:tc>
        <w:tc>
          <w:tcPr>
            <w:tcW w:w="2654" w:type="dxa"/>
            <w:vAlign w:val="center"/>
          </w:tcPr>
          <w:p w14:paraId="6A7B3C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Bug分类统计（严重/一般）、根因分析（如逻辑错误/环境依赖）、修复闭环记录</w:t>
            </w:r>
          </w:p>
        </w:tc>
        <w:tc>
          <w:tcPr>
            <w:tcW w:w="1168" w:type="dxa"/>
            <w:vAlign w:val="center"/>
          </w:tcPr>
          <w:p w14:paraId="56023E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20</w:t>
            </w:r>
          </w:p>
        </w:tc>
        <w:tc>
          <w:tcPr>
            <w:tcW w:w="3005" w:type="dxa"/>
            <w:vAlign w:val="center"/>
          </w:tcPr>
          <w:p w14:paraId="2A642A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优秀（18-20）：根因清晰修复可验证；</w:t>
            </w:r>
          </w:p>
          <w:p w14:paraId="7A6FDF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不及格（&lt;12）：无分类统计无闭环记录。</w:t>
            </w:r>
          </w:p>
        </w:tc>
      </w:tr>
      <w:tr w14:paraId="2549336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8" w:type="dxa"/>
            <w:vAlign w:val="center"/>
          </w:tcPr>
          <w:p w14:paraId="63C64C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可读性和可视化</w:t>
            </w:r>
          </w:p>
        </w:tc>
        <w:tc>
          <w:tcPr>
            <w:tcW w:w="2654" w:type="dxa"/>
            <w:vAlign w:val="center"/>
          </w:tcPr>
          <w:p w14:paraId="1CA5D5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图表专业（趋势图/架构图）、文字简练、重点结论突出、信息密度合理</w:t>
            </w:r>
          </w:p>
        </w:tc>
        <w:tc>
          <w:tcPr>
            <w:tcW w:w="1168" w:type="dxa"/>
            <w:vAlign w:val="center"/>
          </w:tcPr>
          <w:p w14:paraId="3F1F28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20</w:t>
            </w:r>
          </w:p>
        </w:tc>
        <w:tc>
          <w:tcPr>
            <w:tcW w:w="3005" w:type="dxa"/>
            <w:vAlign w:val="center"/>
          </w:tcPr>
          <w:p w14:paraId="122050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优秀（18-20）：图文并茂结论醒目；</w:t>
            </w:r>
          </w:p>
          <w:p w14:paraId="33454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不及格（&lt;12）：图表模糊信息堆砌。</w:t>
            </w:r>
          </w:p>
        </w:tc>
      </w:tr>
      <w:tr w14:paraId="0E45B60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8" w:type="dxa"/>
            <w:vAlign w:val="center"/>
          </w:tcPr>
          <w:p w14:paraId="1FEF80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建议与改进建议</w:t>
            </w:r>
          </w:p>
        </w:tc>
        <w:tc>
          <w:tcPr>
            <w:tcW w:w="2654" w:type="dxa"/>
            <w:vAlign w:val="center"/>
          </w:tcPr>
          <w:p w14:paraId="3F48C2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针对性优化方向（如技术债清理）、可落地改进计划（时间/资源）</w:t>
            </w:r>
          </w:p>
        </w:tc>
        <w:tc>
          <w:tcPr>
            <w:tcW w:w="1168" w:type="dxa"/>
            <w:vAlign w:val="center"/>
          </w:tcPr>
          <w:p w14:paraId="0AFA8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20</w:t>
            </w:r>
          </w:p>
        </w:tc>
        <w:tc>
          <w:tcPr>
            <w:tcW w:w="3005" w:type="dxa"/>
            <w:vAlign w:val="center"/>
          </w:tcPr>
          <w:p w14:paraId="4D774D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优秀（18-20）：计划具体可执行；</w:t>
            </w:r>
          </w:p>
          <w:p w14:paraId="64C244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不及格（&lt;12）：建议空泛无资源规划。</w:t>
            </w:r>
          </w:p>
        </w:tc>
      </w:tr>
    </w:tbl>
    <w:p w14:paraId="401B7790"/>
    <w:p w14:paraId="5552D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说明：缺陷分析需关联测试用例；可视化禁用截图模糊/表意不清图表。</w:t>
      </w:r>
    </w:p>
    <w:p w14:paraId="2010F77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br w:type="page"/>
      </w:r>
    </w:p>
    <w:p w14:paraId="12E5FBFD">
      <w:pPr>
        <w:pStyle w:val="4"/>
        <w:numPr>
          <w:ilvl w:val="0"/>
          <w:numId w:val="3"/>
        </w:numPr>
        <w:ind w:left="0" w:leftChars="0" w:firstLine="420" w:firstLineChars="0"/>
        <w:jc w:val="left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答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sz w:val="24"/>
          <w:szCs w:val="24"/>
        </w:rPr>
        <w:t>辩材料（100分）</w:t>
      </w:r>
    </w:p>
    <w:tbl>
      <w:tblPr>
        <w:tblStyle w:val="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2658"/>
        <w:gridCol w:w="1181"/>
        <w:gridCol w:w="2990"/>
      </w:tblGrid>
      <w:tr w14:paraId="76A2DA1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1" w:type="dxa"/>
            <w:vAlign w:val="center"/>
          </w:tcPr>
          <w:p w14:paraId="37EB40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评分项</w:t>
            </w:r>
          </w:p>
        </w:tc>
        <w:tc>
          <w:tcPr>
            <w:tcW w:w="2658" w:type="dxa"/>
            <w:vAlign w:val="center"/>
          </w:tcPr>
          <w:p w14:paraId="7C5B24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评分标准</w:t>
            </w:r>
          </w:p>
        </w:tc>
        <w:tc>
          <w:tcPr>
            <w:tcW w:w="1181" w:type="dxa"/>
            <w:vAlign w:val="center"/>
          </w:tcPr>
          <w:p w14:paraId="0BC2D0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分值</w:t>
            </w:r>
          </w:p>
        </w:tc>
        <w:tc>
          <w:tcPr>
            <w:tcW w:w="2990" w:type="dxa"/>
            <w:vAlign w:val="center"/>
          </w:tcPr>
          <w:p w14:paraId="608222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等级说明</w:t>
            </w:r>
          </w:p>
        </w:tc>
      </w:tr>
      <w:tr w14:paraId="7BC5D07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1" w:type="dxa"/>
            <w:vAlign w:val="center"/>
          </w:tcPr>
          <w:p w14:paraId="133F4C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PPT</w:t>
            </w:r>
          </w:p>
        </w:tc>
        <w:tc>
          <w:tcPr>
            <w:tcW w:w="2658" w:type="dxa"/>
            <w:vAlign w:val="center"/>
          </w:tcPr>
          <w:p w14:paraId="22EE57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逻辑主线清晰（问题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方案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成果）、页数≤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  <w:t>20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页、图文比例≥1:1、动画简洁不喧宾夺主</w:t>
            </w:r>
          </w:p>
        </w:tc>
        <w:tc>
          <w:tcPr>
            <w:tcW w:w="1181" w:type="dxa"/>
            <w:vAlign w:val="center"/>
          </w:tcPr>
          <w:p w14:paraId="248DD1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40</w:t>
            </w:r>
          </w:p>
        </w:tc>
        <w:tc>
          <w:tcPr>
            <w:tcW w:w="2990" w:type="dxa"/>
            <w:vAlign w:val="center"/>
          </w:tcPr>
          <w:p w14:paraId="14046D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优秀（36-40）：主线突出视觉专业；</w:t>
            </w:r>
          </w:p>
          <w:p w14:paraId="5F4E26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不及格（&lt;24）：文字堆积逻辑混乱。</w:t>
            </w:r>
          </w:p>
        </w:tc>
      </w:tr>
      <w:tr w14:paraId="3D6EB82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1" w:type="dxa"/>
            <w:vAlign w:val="center"/>
          </w:tcPr>
          <w:p w14:paraId="6BC4D1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现场答辩</w:t>
            </w:r>
          </w:p>
        </w:tc>
        <w:tc>
          <w:tcPr>
            <w:tcW w:w="2658" w:type="dxa"/>
            <w:vAlign w:val="center"/>
          </w:tcPr>
          <w:p w14:paraId="732C2C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表达流畅无照读、时间控制（±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分钟）、问答环节应对准确、原型/演示视频同步展示</w:t>
            </w:r>
          </w:p>
        </w:tc>
        <w:tc>
          <w:tcPr>
            <w:tcW w:w="1181" w:type="dxa"/>
            <w:vAlign w:val="center"/>
          </w:tcPr>
          <w:p w14:paraId="338E67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60</w:t>
            </w:r>
          </w:p>
        </w:tc>
        <w:tc>
          <w:tcPr>
            <w:tcW w:w="2990" w:type="dxa"/>
            <w:vAlign w:val="center"/>
          </w:tcPr>
          <w:p w14:paraId="4B8FF6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优秀（54-60）：演示流畅应答精准；</w:t>
            </w:r>
          </w:p>
          <w:p w14:paraId="509C54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不及格（&lt;36）：超时严重演示失败。</w:t>
            </w:r>
          </w:p>
        </w:tc>
      </w:tr>
    </w:tbl>
    <w:p w14:paraId="3719E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6D843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说明：PPT需避免文字堆积；答辩演示需真实运行（录屏备查）。</w:t>
      </w:r>
    </w:p>
    <w:p w14:paraId="1820E3B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br w:type="page"/>
      </w:r>
    </w:p>
    <w:p w14:paraId="0C7BBA36">
      <w:pPr>
        <w:pStyle w:val="4"/>
        <w:numPr>
          <w:ilvl w:val="0"/>
          <w:numId w:val="3"/>
        </w:numPr>
        <w:ind w:left="0" w:leftChars="0" w:firstLine="420" w:firstLineChars="0"/>
        <w:jc w:val="left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源代码（100分）</w:t>
      </w:r>
    </w:p>
    <w:tbl>
      <w:tblPr>
        <w:tblStyle w:val="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9"/>
        <w:gridCol w:w="2695"/>
        <w:gridCol w:w="1156"/>
        <w:gridCol w:w="3002"/>
      </w:tblGrid>
      <w:tr w14:paraId="5944E91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  <w:vAlign w:val="center"/>
          </w:tcPr>
          <w:p w14:paraId="2D41EF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评分项</w:t>
            </w:r>
          </w:p>
        </w:tc>
        <w:tc>
          <w:tcPr>
            <w:tcW w:w="2695" w:type="dxa"/>
            <w:vAlign w:val="center"/>
          </w:tcPr>
          <w:p w14:paraId="4E2CC9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评分标准</w:t>
            </w:r>
          </w:p>
        </w:tc>
        <w:tc>
          <w:tcPr>
            <w:tcW w:w="1156" w:type="dxa"/>
            <w:vAlign w:val="center"/>
          </w:tcPr>
          <w:p w14:paraId="7B122A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分值</w:t>
            </w:r>
          </w:p>
        </w:tc>
        <w:tc>
          <w:tcPr>
            <w:tcW w:w="3002" w:type="dxa"/>
            <w:vAlign w:val="center"/>
          </w:tcPr>
          <w:p w14:paraId="34B570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等级说明</w:t>
            </w:r>
          </w:p>
        </w:tc>
      </w:tr>
      <w:tr w14:paraId="47CD60E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  <w:vAlign w:val="center"/>
          </w:tcPr>
          <w:p w14:paraId="35C6B3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技术创新</w:t>
            </w:r>
          </w:p>
        </w:tc>
        <w:tc>
          <w:tcPr>
            <w:tcW w:w="2695" w:type="dxa"/>
            <w:vAlign w:val="center"/>
          </w:tcPr>
          <w:p w14:paraId="4822D1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自研算法/框架应用、专利技术实现、解决行业痛点方案</w:t>
            </w:r>
          </w:p>
        </w:tc>
        <w:tc>
          <w:tcPr>
            <w:tcW w:w="1156" w:type="dxa"/>
            <w:vAlign w:val="center"/>
          </w:tcPr>
          <w:p w14:paraId="4F0CE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50</w:t>
            </w:r>
          </w:p>
        </w:tc>
        <w:tc>
          <w:tcPr>
            <w:tcW w:w="3002" w:type="dxa"/>
            <w:vAlign w:val="center"/>
          </w:tcPr>
          <w:p w14:paraId="0332D7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优秀（45-50）：技术领先有专利支撑；</w:t>
            </w:r>
          </w:p>
          <w:p w14:paraId="3D8E9D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不及格（&lt;30）：无创新点方案平庸。</w:t>
            </w:r>
          </w:p>
        </w:tc>
      </w:tr>
      <w:tr w14:paraId="1F78921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  <w:vAlign w:val="center"/>
          </w:tcPr>
          <w:p w14:paraId="058268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功能创新</w:t>
            </w:r>
          </w:p>
        </w:tc>
        <w:tc>
          <w:tcPr>
            <w:tcW w:w="2695" w:type="dxa"/>
            <w:vAlign w:val="center"/>
          </w:tcPr>
          <w:p w14:paraId="1F91A8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超越需求文档的增值功能、用户体验创新（交互/流程）</w:t>
            </w:r>
          </w:p>
        </w:tc>
        <w:tc>
          <w:tcPr>
            <w:tcW w:w="1156" w:type="dxa"/>
            <w:vAlign w:val="center"/>
          </w:tcPr>
          <w:p w14:paraId="6C9579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50</w:t>
            </w:r>
          </w:p>
        </w:tc>
        <w:tc>
          <w:tcPr>
            <w:tcW w:w="3002" w:type="dxa"/>
            <w:vAlign w:val="center"/>
          </w:tcPr>
          <w:p w14:paraId="18A4CF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优秀（45-50）：功能增值体验极致；</w:t>
            </w:r>
          </w:p>
          <w:p w14:paraId="58A275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不及格（&lt;30）：无额外功能体验未优化。</w:t>
            </w:r>
          </w:p>
        </w:tc>
      </w:tr>
    </w:tbl>
    <w:p w14:paraId="3FDD28D7"/>
    <w:p w14:paraId="13FED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说明：创新需提供对比分析（如传统方案VS本方案）；代码需通过基础功能测试。</w:t>
      </w:r>
    </w:p>
    <w:p w14:paraId="644B2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B9180E"/>
    <w:multiLevelType w:val="singleLevel"/>
    <w:tmpl w:val="89B9180E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4FCD5A69"/>
    <w:multiLevelType w:val="singleLevel"/>
    <w:tmpl w:val="4FCD5A69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5611BC6D"/>
    <w:multiLevelType w:val="multilevel"/>
    <w:tmpl w:val="5611BC6D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  <w:lvl w:ilvl="1" w:tentative="0">
      <w:start w:val="1"/>
      <w:numFmt w:val="decimal"/>
      <w:pStyle w:val="3"/>
      <w:suff w:val="nothing"/>
      <w:lvlText w:val="%2．"/>
      <w:lvlJc w:val="left"/>
      <w:pPr>
        <w:ind w:left="0" w:firstLine="42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B10FE2"/>
    <w:rsid w:val="0C402C07"/>
    <w:rsid w:val="1F8B6BD3"/>
    <w:rsid w:val="23233619"/>
    <w:rsid w:val="261533B5"/>
    <w:rsid w:val="2FED44BD"/>
    <w:rsid w:val="32B10FE2"/>
    <w:rsid w:val="54BB6290"/>
    <w:rsid w:val="69302CFC"/>
    <w:rsid w:val="740C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line="240" w:lineRule="auto"/>
      <w:ind w:left="0" w:right="1145"/>
      <w:jc w:val="left"/>
      <w:outlineLvl w:val="0"/>
    </w:pPr>
    <w:rPr>
      <w:rFonts w:ascii="宋体" w:hAnsi="宋体" w:eastAsia="宋体" w:cs="宋体"/>
      <w:b/>
      <w:bCs/>
      <w:sz w:val="44"/>
      <w:szCs w:val="111"/>
      <w:lang w:val="zh-CN" w:bidi="zh-CN"/>
    </w:rPr>
  </w:style>
  <w:style w:type="paragraph" w:styleId="3">
    <w:name w:val="heading 2"/>
    <w:next w:val="1"/>
    <w:semiHidden/>
    <w:unhideWhenUsed/>
    <w:qFormat/>
    <w:uiPriority w:val="0"/>
    <w:pPr>
      <w:keepNext/>
      <w:numPr>
        <w:ilvl w:val="1"/>
        <w:numId w:val="1"/>
      </w:numPr>
      <w:tabs>
        <w:tab w:val="left" w:pos="576"/>
      </w:tabs>
      <w:spacing w:before="240" w:after="240"/>
      <w:ind w:left="0"/>
      <w:jc w:val="left"/>
      <w:outlineLvl w:val="1"/>
    </w:pPr>
    <w:rPr>
      <w:rFonts w:ascii="Arial" w:hAnsi="Arial" w:eastAsia="微软雅黑" w:cs="Times New Roman"/>
      <w:b/>
      <w:sz w:val="24"/>
      <w:szCs w:val="24"/>
      <w:lang w:val="en-US" w:eastAsia="zh-CN" w:bidi="ar-SA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2137</Words>
  <Characters>2289</Characters>
  <Lines>0</Lines>
  <Paragraphs>0</Paragraphs>
  <TotalTime>3</TotalTime>
  <ScaleCrop>false</ScaleCrop>
  <LinksUpToDate>false</LinksUpToDate>
  <CharactersWithSpaces>2289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2025-08-05T02:04:00Z</dcterms:created>
  <dc:creator>SDL</dc:creator>
  <cp:lastModifiedBy>SDL</cp:lastModifiedBy>
  <dcterms:modified xsi:type="dcterms:W3CDTF">2025-08-05T02:51:11Z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D3029AC9C20D4B3D880C0C309FC3FC1D_11</vt:lpwstr>
  </property>
  <property fmtid="{D5CDD505-2E9C-101B-9397-08002B2CF9AE}" pid="4" name="KSOTemplateDocerSaveRecord">
    <vt:lpwstr>eyJoZGlkIjoiYTgwYmRmNDJkMjlmNDQ1MmI2ZjNjMmJhMDFkMmJiMTciLCJ1c2VySWQiOiIyNDk0NDIyOTQifQ==</vt:lpwstr>
  </property>
</Properties>
</file>