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000000"/>
          <w:sz w:val="46"/>
        </w:rPr>
        <w:t>Structured document fixture</w:t>
      </w:r>
    </w:p>
    <w:p>
      <w:pPr>
        <w:spacing w:after="320"/>
      </w:pPr>
      <w:r>
        <w:rPr>
          <w:rFonts w:ascii="Calibri" w:hAnsi="Calibri"/>
          <w:b w:val="0"/>
          <w:color w:val="475569"/>
          <w:sz w:val="26"/>
        </w:rPr>
        <w:t>Headings, paragraphs, list structure, and table cells</w:t>
      </w:r>
    </w:p>
    <w:p>
      <w:pPr>
        <w:pStyle w:val="Heading1"/>
      </w:pPr>
      <w:r>
        <w:t>Research summary</w:t>
      </w:r>
    </w:p>
    <w:p>
      <w:r>
        <w:t>This real DOCX verifies that the production Office route extracts readable paragraphs without executing macros or external objects.</w:t>
      </w:r>
    </w:p>
    <w:p>
      <w:pPr>
        <w:pStyle w:val="Heading2"/>
      </w:pPr>
      <w:r>
        <w:t>Key observations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The first observation must remain in document order.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The second observation contains CJK text: 本地来源。</w:t>
      </w:r>
    </w:p>
    <w:p>
      <w:pPr>
        <w:pStyle w:val="Heading2"/>
      </w:pPr>
      <w:r>
        <w:t>Measured values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2"/>
              </w:rPr>
              <w:t>Metric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Readable paragraphs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Unicode marker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研究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8"/>
      </w:rPr>
      <w:t>Local import extraction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64748B"/>
        <w:sz w:val="18"/>
      </w:rPr>
      <w:t>Batch 3 DOCX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