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EB Garamond" w:cs="EB Garamond" w:eastAsia="EB Garamond" w:hAnsi="EB Garamond"/>
          <w:color w:val="5a4f42"/>
          <w:spacing w:val="60"/>
          <w:sz w:val="22"/>
          <w:szCs w:val="22"/>
        </w:rPr>
        <w:t xml:space="preserve">A PERMUTATION IN NINE VOICES</w:t>
      </w:r>
    </w:p>
    <w:p>
      <w:pPr>
        <w:spacing w:after="120" w:before="0"/>
        <w:jc w:val="center"/>
      </w:pPr>
      <w:r>
        <w:rPr>
          <w:rFonts w:ascii="EB Garamond" w:cs="EB Garamond" w:eastAsia="EB Garamond" w:hAnsi="EB Garamond"/>
          <w:color w:val="8b1a1a"/>
          <w:sz w:val="44"/>
          <w:szCs w:val="44"/>
        </w:rPr>
        <w:t xml:space="preserve">the air is redolent with the smell of garlic</w:t>
      </w:r>
    </w:p>
    <w:p>
      <w:pPr>
        <w:spacing w:after="80"/>
        <w:jc w:val="center"/>
      </w:pPr>
      <w:r>
        <w:rPr>
          <w:rFonts w:ascii="EB Garamond" w:cs="EB Garamond" w:eastAsia="EB Garamond" w:hAnsi="EB Garamond"/>
          <w:color w:val="5a4f42"/>
          <w:sz w:val="26"/>
          <w:szCs w:val="26"/>
        </w:rPr>
        <w:t xml:space="preserve">Change Ringing Applied to a Phrase</w:t>
      </w:r>
    </w:p>
    <w:p>
      <w:pPr>
        <w:spacing w:after="240" w:before="200"/>
        <w:jc w:val="center"/>
      </w:pPr>
      <w:r>
        <w:rPr>
          <w:rFonts w:ascii="EB Garamond" w:cs="EB Garamond" w:eastAsia="EB Garamond" w:hAnsi="EB Garamond"/>
          <w:color w:val="5a4f42"/>
          <w:sz w:val="22"/>
          <w:szCs w:val="22"/>
        </w:rPr>
        <w:t xml:space="preserve">✦  ✦  ✦</w:t>
      </w:r>
    </w:p>
    <w:p>
      <w:pPr>
        <w:spacing w:after="120"/>
        <w:jc w:val="center"/>
      </w:pPr>
      <w:r>
        <w:rPr>
          <w:rFonts w:ascii="EB Garamond" w:cs="EB Garamond" w:eastAsia="EB Garamond" w:hAnsi="EB Garamond"/>
          <w:color w:val="5a4f42"/>
          <w:sz w:val="22"/>
          <w:szCs w:val="22"/>
        </w:rPr>
        <w:t xml:space="preserve">William Rubel, with Claude Opus 4.7</w:t>
      </w:r>
    </w:p>
    <w:p>
      <w:pPr>
        <w:spacing w:after="120"/>
        <w:jc w:val="center"/>
      </w:pPr>
      <w:r>
        <w:rPr>
          <w:rFonts w:ascii="EB Garamond" w:cs="EB Garamond" w:eastAsia="EB Garamond" w:hAnsi="EB Garamond"/>
          <w:color w:val="5a4f42"/>
          <w:sz w:val="22"/>
          <w:szCs w:val="22"/>
        </w:rPr>
        <w:t xml:space="preserve">Working Notes · 22 April 2026</w:t>
      </w:r>
    </w:p>
    <w:p>
      <w:pPr>
        <w:spacing w:after="240" w:before="200"/>
        <w:jc w:val="center"/>
      </w:pPr>
      <w:r>
        <w:rPr>
          <w:rFonts w:ascii="EB Garamond" w:cs="EB Garamond" w:eastAsia="EB Garamond" w:hAnsi="EB Garamond"/>
          <w:color w:val="5a4f42"/>
          <w:sz w:val="22"/>
          <w:szCs w:val="22"/>
        </w:rPr>
        <w:t xml:space="preserve">✦  ✦  ✦</w:t>
      </w:r>
    </w:p>
    <w:p>
      <w:pPr>
        <w:pStyle w:val="Heading1"/>
        <w:spacing w:after="180" w:before="360"/>
      </w:pPr>
      <w:r>
        <w:rPr>
          <w:rFonts w:ascii="EB Garamond" w:cs="EB Garamond" w:eastAsia="EB Garamond" w:hAnsi="EB Garamond"/>
          <w:b/>
          <w:bCs/>
          <w:color w:val="8b1a1a"/>
          <w:sz w:val="32"/>
          <w:szCs w:val="32"/>
        </w:rPr>
        <w:t xml:space="preserve">Preface</w:t>
      </w:r>
    </w:p>
    <w:p>
      <w:pPr>
        <w:spacing w:after="120" w:line="300"/>
        <w:jc w:val="both"/>
      </w:pPr>
      <w:r>
        <w:rPr>
          <w:rFonts w:ascii="EB Garamond" w:cs="EB Garamond" w:eastAsia="EB Garamond" w:hAnsi="EB Garamond"/>
          <w:sz w:val="24"/>
          <w:szCs w:val="24"/>
        </w:rPr>
        <w:t xml:space="preserve">This document consolidates the substantive material from a working session held on 22 April 2026 concerning the application of English change-ringing methods to the phrase the air is redolent with the smell of garlic. The session produced a browser-based artifact, index.html, in which the phrase is permuted through Plain Hunt Caters—a method on nine bells—and struck as synthesised bells tuned to a G-major descending peal, with the option to play the ringing in the author's own voice via uploaded audio files. The artifact is the primary deliverable; this document is its accompanying gloss and the record of proposed extensions not yet implemented.</w:t>
      </w:r>
    </w:p>
    <w:p>
      <w:pPr>
        <w:pStyle w:val="Heading1"/>
        <w:spacing w:after="180" w:before="360"/>
      </w:pPr>
      <w:r>
        <w:rPr>
          <w:rFonts w:ascii="EB Garamond" w:cs="EB Garamond" w:eastAsia="EB Garamond" w:hAnsi="EB Garamond"/>
          <w:b/>
          <w:bCs/>
          <w:color w:val="8b1a1a"/>
          <w:sz w:val="32"/>
          <w:szCs w:val="32"/>
        </w:rPr>
        <w:t xml:space="preserve">The Phrase and the Form</w:t>
      </w:r>
    </w:p>
    <w:p>
      <w:pPr>
        <w:spacing w:after="120" w:line="300"/>
        <w:jc w:val="both"/>
      </w:pPr>
      <w:r>
        <w:rPr>
          <w:rFonts w:ascii="EB Garamond" w:cs="EB Garamond" w:eastAsia="EB Garamond" w:hAnsi="EB Garamond"/>
          <w:sz w:val="24"/>
          <w:szCs w:val="24"/>
        </w:rPr>
        <w:t xml:space="preserve">The Latin etymology is apposite. Redolent descends from redolere, to “send forth” an odour. Change ringing is, in its essence, the mathematical choreography of bells sending forth sound into the air. The phrase and the form share an ontology of emanation through the same medium. That rhyme is the conceptual ground of the piece.</w:t>
      </w:r>
    </w:p>
    <w:p>
      <w:pPr>
        <w:spacing w:after="120" w:line="300"/>
        <w:ind w:firstLine="360"/>
        <w:jc w:val="both"/>
      </w:pPr>
      <w:r>
        <w:rPr>
          <w:rFonts w:ascii="EB Garamond" w:cs="EB Garamond" w:eastAsia="EB Garamond" w:hAnsi="EB Garamond"/>
          <w:sz w:val="24"/>
          <w:szCs w:val="24"/>
        </w:rPr>
        <w:t xml:space="preserve">The phrase is numerically fortunate at two scales. As read, it counts nine words—the home of Caters, the term of art for any method rung on nine bells. Broken into syllables, the-air-is-re-do-lent-with-the-smell-of-gar-lic, it counts twelve—Maximus, the twelve-bell methods. The same phrase thus yields two natural scales of ringing, requiring no interpolation to fit the bell counts.</w:t>
      </w:r>
    </w:p>
    <w:p>
      <w:pPr>
        <w:spacing w:after="120" w:line="300"/>
        <w:ind w:firstLine="360"/>
        <w:jc w:val="both"/>
      </w:pPr>
      <w:r>
        <w:rPr>
          <w:rFonts w:ascii="EB Garamond" w:cs="EB Garamond" w:eastAsia="EB Garamond" w:hAnsi="EB Garamond"/>
          <w:sz w:val="24"/>
          <w:szCs w:val="24"/>
        </w:rPr>
        <w:t xml:space="preserve">Natural bell assignment places the tenor—heaviest, lowest in pitch, the “home” bell of any ringing—on garlic at the word scale, and on lic at the syllable scale. Rounds, the sequence 1, 2, 3, …, n, therefore reads out the phrase in its natural order, and the final stroke of each return to rounds lands on the pungent noun.</w:t>
      </w:r>
    </w:p>
    <w:p>
      <w:pPr>
        <w:pStyle w:val="Heading1"/>
        <w:spacing w:after="180" w:before="360"/>
      </w:pPr>
      <w:r>
        <w:rPr>
          <w:rFonts w:ascii="EB Garamond" w:cs="EB Garamond" w:eastAsia="EB Garamond" w:hAnsi="EB Garamond"/>
          <w:b/>
          <w:bCs/>
          <w:color w:val="8b1a1a"/>
          <w:sz w:val="32"/>
          <w:szCs w:val="32"/>
        </w:rPr>
        <w:t xml:space="preserve">Correction of the July 2025 Attempt</w:t>
      </w:r>
    </w:p>
    <w:p>
      <w:pPr>
        <w:spacing w:after="120" w:line="300"/>
        <w:jc w:val="both"/>
      </w:pPr>
      <w:r>
        <w:rPr>
          <w:rFonts w:ascii="EB Garamond" w:cs="EB Garamond" w:eastAsia="EB Garamond" w:hAnsi="EB Garamond"/>
          <w:sz w:val="24"/>
          <w:szCs w:val="24"/>
        </w:rPr>
        <w:t xml:space="preserve">An earlier attempt, made in July 2025 using Claude 4, was mislabelled. Its caption read “Bob’s Major Change Ringing Algorithm applied to a sentence presented as syllables.” Two errors are compressed into that caption.</w:t>
      </w:r>
    </w:p>
    <w:p>
      <w:pPr>
        <w:spacing w:after="120" w:line="300"/>
        <w:ind w:firstLine="360"/>
        <w:jc w:val="both"/>
      </w:pPr>
      <w:r>
        <w:rPr>
          <w:rFonts w:ascii="EB Garamond" w:cs="EB Garamond" w:eastAsia="EB Garamond" w:hAnsi="EB Garamond"/>
          <w:sz w:val="24"/>
          <w:szCs w:val="24"/>
        </w:rPr>
        <w:t xml:space="preserve">First, Plain Bob is the name of a method family. “Bob” is not a person but a kind of call: in ringing, a bob is an instruction from the conductor that alters the course of a composition at a specified lead-end. The compositional element and the method name were conflated into a fictitious author.</w:t>
      </w:r>
    </w:p>
    <w:p>
      <w:pPr>
        <w:spacing w:after="120" w:line="300"/>
        <w:ind w:firstLine="360"/>
        <w:jc w:val="both"/>
      </w:pPr>
      <w:r>
        <w:rPr>
          <w:rFonts w:ascii="EB Garamond" w:cs="EB Garamond" w:eastAsia="EB Garamond" w:hAnsi="EB Garamond"/>
          <w:sz w:val="24"/>
          <w:szCs w:val="24"/>
        </w:rPr>
        <w:t xml:space="preserve">Second, Major denotes a method rung on eight bells specifically, not a generic term for a substantial composition. A nine-word reading cannot be a Major composition by definition. The earlier rendering interpolated “warm humid” into the phrase to bring it to eleven words, but eleven—Cinques—is rung in the Stedman family only, and the twelve rows shown do not correspond to a canonical plain course of any named method.</w:t>
      </w:r>
    </w:p>
    <w:p>
      <w:pPr>
        <w:spacing w:after="120" w:line="300"/>
        <w:ind w:firstLine="360"/>
        <w:jc w:val="both"/>
      </w:pPr>
      <w:r>
        <w:rPr>
          <w:rFonts w:ascii="EB Garamond" w:cs="EB Garamond" w:eastAsia="EB Garamond" w:hAnsi="EB Garamond"/>
          <w:sz w:val="24"/>
          <w:szCs w:val="24"/>
        </w:rPr>
        <w:t xml:space="preserve">The present implementation corrects both faults. The phrase is taken unaltered at its natural nine-word count and rung as Plain Hunt Caters.</w:t>
      </w:r>
    </w:p>
    <w:p>
      <w:pPr>
        <w:pStyle w:val="Heading1"/>
        <w:spacing w:after="180" w:before="360"/>
      </w:pPr>
      <w:r>
        <w:rPr>
          <w:rFonts w:ascii="EB Garamond" w:cs="EB Garamond" w:eastAsia="EB Garamond" w:hAnsi="EB Garamond"/>
          <w:b/>
          <w:bCs/>
          <w:color w:val="8b1a1a"/>
          <w:sz w:val="32"/>
          <w:szCs w:val="32"/>
        </w:rPr>
        <w:t xml:space="preserve">Plain Hunt Caters: The Method Implemented</w:t>
      </w:r>
    </w:p>
    <w:p>
      <w:pPr>
        <w:spacing w:after="120" w:line="300"/>
        <w:jc w:val="both"/>
      </w:pPr>
      <w:r>
        <w:rPr>
          <w:rFonts w:ascii="EB Garamond" w:cs="EB Garamond" w:eastAsia="EB Garamond" w:hAnsi="EB Garamond"/>
          <w:sz w:val="24"/>
          <w:szCs w:val="24"/>
        </w:rPr>
        <w:t xml:space="preserve">Plain Hunt is the primitive of change ringing: every bell hunts from one end of the row to the other and home again, crossing its neighbours in strict alternation. On nine bells, the full plain course is 2n = 18 changes, at which point rounds returns and the cycle may repeat.</w:t>
      </w:r>
    </w:p>
    <w:p>
      <w:pPr>
        <w:spacing w:after="120" w:line="300"/>
        <w:ind w:firstLine="360"/>
        <w:jc w:val="both"/>
      </w:pPr>
      <w:r>
        <w:rPr>
          <w:rFonts w:ascii="EB Garamond" w:cs="EB Garamond" w:eastAsia="EB Garamond" w:hAnsi="EB Garamond"/>
          <w:sz w:val="24"/>
          <w:szCs w:val="24"/>
        </w:rPr>
        <w:t xml:space="preserve">The place notation alternates two instructions. The symbol 9 means that the bell in position 9 remains fixed while pairs swap in positions (1,2), (3,4), (5,6), and (7,8). The symbol 1 means that the bell in position 1 remains fixed while pairs swap in positions (2,3), (4,5), (6,7), and (8,9). Starting from rounds and applying the sequence 9.1.9.1.9.1.9.1.9.1.9.1.9.1.9.1.9.1 produces nineteen distinct rows—rounds plus eighteen changes, terminating in rounds—that constitute one full plain course.</w:t>
      </w:r>
    </w:p>
    <w:p>
      <w:pPr>
        <w:spacing w:after="120" w:line="300"/>
        <w:ind w:firstLine="360"/>
        <w:jc w:val="both"/>
      </w:pPr>
      <w:r>
        <w:rPr>
          <w:rFonts w:ascii="EB Garamond" w:cs="EB Garamond" w:eastAsia="EB Garamond" w:hAnsi="EB Garamond"/>
          <w:sz w:val="24"/>
          <w:szCs w:val="24"/>
        </w:rPr>
        <w:t xml:space="preserve">The treble, bell 1, plain hunts from position 1 out to position 9 and home. The tenor, bell 9, does the same in mirror. Every intermediate bell executes the same hunt, offset by one position per place of its entry. The musical interest of Plain Hunt is didactic rather than aesthetic: it is the ground on which Stedman, Grandsire, and the surprise methods are erected. For a first rendering it has the virtue of complete legibility—every bell’s path is a simple zig-zag, every row is distinct, the return to rounds is exact.</w:t>
      </w:r>
    </w:p>
    <w:p>
      <w:pPr>
        <w:pStyle w:val="Heading1"/>
        <w:spacing w:after="180" w:before="360"/>
      </w:pPr>
      <w:r>
        <w:rPr>
          <w:rFonts w:ascii="EB Garamond" w:cs="EB Garamond" w:eastAsia="EB Garamond" w:hAnsi="EB Garamond"/>
          <w:b/>
          <w:bCs/>
          <w:color w:val="8b1a1a"/>
          <w:sz w:val="32"/>
          <w:szCs w:val="32"/>
        </w:rPr>
        <w:t xml:space="preserve">The Artifact</w:t>
      </w:r>
    </w:p>
    <w:p>
      <w:pPr>
        <w:spacing w:after="120" w:line="300"/>
        <w:jc w:val="both"/>
      </w:pPr>
      <w:r>
        <w:rPr>
          <w:rFonts w:ascii="EB Garamond" w:cs="EB Garamond" w:eastAsia="EB Garamond" w:hAnsi="EB Garamond"/>
          <w:sz w:val="24"/>
          <w:szCs w:val="24"/>
        </w:rPr>
        <w:t xml:space="preserve">The browser-based implementation (index.html) provides the following:</w:t>
      </w:r>
    </w:p>
    <w:p>
      <w:pPr>
        <w:spacing w:after="120" w:line="300"/>
        <w:jc w:val="both"/>
      </w:pPr>
      <w:r>
        <w:rPr>
          <w:rFonts w:ascii="EB Garamond" w:cs="EB Garamond" w:eastAsia="EB Garamond" w:hAnsi="EB Garamond"/>
          <w:b/>
          <w:bCs/>
          <w:sz w:val="24"/>
          <w:szCs w:val="24"/>
        </w:rPr>
        <w:t xml:space="preserve">Two views of the sequence. </w:t>
      </w:r>
      <w:r>
        <w:rPr>
          <w:rFonts w:ascii="EB Garamond" w:cs="EB Garamond" w:eastAsia="EB Garamond" w:hAnsi="EB Garamond"/>
          <w:sz w:val="24"/>
          <w:szCs w:val="24"/>
        </w:rPr>
        <w:t xml:space="preserve">A </w:t>
      </w:r>
      <w:r>
        <w:rPr>
          <w:rFonts w:ascii="EB Garamond" w:cs="EB Garamond" w:eastAsia="EB Garamond" w:hAnsi="EB Garamond"/>
          <w:sz w:val="24"/>
          <w:szCs w:val="24"/>
        </w:rPr>
        <w:t xml:space="preserve">Grid</w:t>
      </w:r>
      <w:r>
        <w:rPr>
          <w:rFonts w:ascii="EB Garamond" w:cs="EB Garamond" w:eastAsia="EB Garamond" w:hAnsi="EB Garamond"/>
          <w:sz w:val="24"/>
          <w:szCs w:val="24"/>
        </w:rPr>
        <w:t xml:space="preserve"> view displays all nineteen rows as an indexed table, each word carrying its assigned colour throughout. A </w:t>
      </w:r>
      <w:r>
        <w:rPr>
          <w:rFonts w:ascii="EB Garamond" w:cs="EB Garamond" w:eastAsia="EB Garamond" w:hAnsi="EB Garamond"/>
          <w:sz w:val="24"/>
          <w:szCs w:val="24"/>
        </w:rPr>
        <w:t xml:space="preserve">Blue Lines</w:t>
      </w:r>
      <w:r>
        <w:rPr>
          <w:rFonts w:ascii="EB Garamond" w:cs="EB Garamond" w:eastAsia="EB Garamond" w:hAnsi="EB Garamond"/>
          <w:sz w:val="24"/>
          <w:szCs w:val="24"/>
        </w:rPr>
        <w:t xml:space="preserve"> view displays the same data as nine coloured ribbons threading vertically through the permutation lattice—the form in which English ringers learn methods, with each bell’s path traced as a single line through the lead.</w:t>
      </w:r>
    </w:p>
    <w:p>
      <w:pPr>
        <w:spacing w:after="120" w:line="300"/>
        <w:jc w:val="both"/>
      </w:pPr>
      <w:r>
        <w:rPr>
          <w:rFonts w:ascii="EB Garamond" w:cs="EB Garamond" w:eastAsia="EB Garamond" w:hAnsi="EB Garamond"/>
          <w:b/>
          <w:bCs/>
          <w:sz w:val="24"/>
          <w:szCs w:val="24"/>
        </w:rPr>
        <w:t xml:space="preserve">Synthesised bells. </w:t>
      </w:r>
      <w:r>
        <w:rPr>
          <w:rFonts w:ascii="EB Garamond" w:cs="EB Garamond" w:eastAsia="EB Garamond" w:hAnsi="EB Garamond"/>
          <w:sz w:val="24"/>
          <w:szCs w:val="24"/>
        </w:rPr>
        <w:t xml:space="preserve">Each bell sounds on a three-partial synthesis (fundamental, tierce at 2.4× the fundamental, and nominal octave) tuned to a G-major descending peal from A5 at the treble to G4 at the tenor. The partials approximate the characteristic overtone structure of church bells; the major-key tuning is conventional for English towers.</w:t>
      </w:r>
    </w:p>
    <w:p>
      <w:pPr>
        <w:spacing w:after="120" w:line="300"/>
        <w:jc w:val="both"/>
      </w:pPr>
      <w:r>
        <w:rPr>
          <w:rFonts w:ascii="EB Garamond" w:cs="EB Garamond" w:eastAsia="EB Garamond" w:hAnsi="EB Garamond"/>
          <w:b/>
          <w:bCs/>
          <w:sz w:val="24"/>
          <w:szCs w:val="24"/>
        </w:rPr>
        <w:t xml:space="preserve">Handstroke and backstroke cadence. </w:t>
      </w:r>
      <w:r>
        <w:rPr>
          <w:rFonts w:ascii="EB Garamond" w:cs="EB Garamond" w:eastAsia="EB Garamond" w:hAnsi="EB Garamond"/>
          <w:sz w:val="24"/>
          <w:szCs w:val="24"/>
        </w:rPr>
        <w:t xml:space="preserve">English ringing pulses in pairs of rows—a handstroke followed by a backstroke, with a brief gap before the next handstroke. The implementation reproduces this by inserting a pause of 1.5 inter-bell intervals after every second row. It is this pulse, rather than pure periodicity, that makes a peal sound alive rather than metronomic.</w:t>
      </w:r>
    </w:p>
    <w:p>
      <w:pPr>
        <w:spacing w:after="120" w:line="300"/>
        <w:jc w:val="both"/>
      </w:pPr>
      <w:r>
        <w:rPr>
          <w:rFonts w:ascii="EB Garamond" w:cs="EB Garamond" w:eastAsia="EB Garamond" w:hAnsi="EB Garamond"/>
          <w:b/>
          <w:bCs/>
          <w:sz w:val="24"/>
          <w:szCs w:val="24"/>
        </w:rPr>
        <w:t xml:space="preserve">Tempo control. </w:t>
      </w:r>
      <w:r>
        <w:rPr>
          <w:rFonts w:ascii="EB Garamond" w:cs="EB Garamond" w:eastAsia="EB Garamond" w:hAnsi="EB Garamond"/>
          <w:sz w:val="24"/>
          <w:szCs w:val="24"/>
        </w:rPr>
        <w:t xml:space="preserve">A slider governs the interval between successive bell strikes, producing readings from measured to brisk.</w:t>
      </w:r>
    </w:p>
    <w:p>
      <w:pPr>
        <w:spacing w:after="120" w:line="300"/>
        <w:jc w:val="both"/>
      </w:pPr>
      <w:r>
        <w:rPr>
          <w:rFonts w:ascii="EB Garamond" w:cs="EB Garamond" w:eastAsia="EB Garamond" w:hAnsi="EB Garamond"/>
          <w:b/>
          <w:bCs/>
          <w:sz w:val="24"/>
          <w:szCs w:val="24"/>
        </w:rPr>
        <w:t xml:space="preserve">Click to hear. </w:t>
      </w:r>
      <w:r>
        <w:rPr>
          <w:rFonts w:ascii="EB Garamond" w:cs="EB Garamond" w:eastAsia="EB Garamond" w:hAnsi="EB Garamond"/>
          <w:sz w:val="24"/>
          <w:szCs w:val="24"/>
        </w:rPr>
        <w:t xml:space="preserve">Any row in the grid may be clicked to hear it sounded in isolation.</w:t>
      </w:r>
    </w:p>
    <w:p>
      <w:pPr>
        <w:spacing w:after="120" w:line="300"/>
        <w:jc w:val="both"/>
      </w:pPr>
      <w:r>
        <w:rPr>
          <w:rFonts w:ascii="EB Garamond" w:cs="EB Garamond" w:eastAsia="EB Garamond" w:hAnsi="EB Garamond"/>
          <w:b/>
          <w:bCs/>
          <w:sz w:val="24"/>
          <w:szCs w:val="24"/>
        </w:rPr>
        <w:t xml:space="preserve">Colour assignment. </w:t>
      </w:r>
      <w:r>
        <w:rPr>
          <w:rFonts w:ascii="EB Garamond" w:cs="EB Garamond" w:eastAsia="EB Garamond" w:hAnsi="EB Garamond"/>
          <w:sz w:val="24"/>
          <w:szCs w:val="24"/>
        </w:rPr>
        <w:t xml:space="preserve">Each word carries a persistent colour derived from its original bell number. The two instances of </w:t>
      </w:r>
      <w:r>
        <w:rPr>
          <w:rFonts w:ascii="EB Garamond" w:cs="EB Garamond" w:eastAsia="EB Garamond" w:hAnsi="EB Garamond"/>
          <w:sz w:val="24"/>
          <w:szCs w:val="24"/>
        </w:rPr>
        <w:t xml:space="preserve">the</w:t>
      </w:r>
      <w:r>
        <w:rPr>
          <w:rFonts w:ascii="EB Garamond" w:cs="EB Garamond" w:eastAsia="EB Garamond" w:hAnsi="EB Garamond"/>
          <w:sz w:val="24"/>
          <w:szCs w:val="24"/>
        </w:rPr>
        <w:t xml:space="preserve"> are assigned distinct colours so that each may be followed independently through the lattice. The second </w:t>
      </w:r>
      <w:r>
        <w:rPr>
          <w:rFonts w:ascii="EB Garamond" w:cs="EB Garamond" w:eastAsia="EB Garamond" w:hAnsi="EB Garamond"/>
          <w:sz w:val="24"/>
          <w:szCs w:val="24"/>
        </w:rPr>
        <w:t xml:space="preserve">the</w:t>
      </w:r>
      <w:r>
        <w:rPr>
          <w:rFonts w:ascii="EB Garamond" w:cs="EB Garamond" w:eastAsia="EB Garamond" w:hAnsi="EB Garamond"/>
          <w:sz w:val="24"/>
          <w:szCs w:val="24"/>
        </w:rPr>
        <w:t xml:space="preserve"> is not the first returning but a separate voice with its own path.</w:t>
      </w:r>
    </w:p>
    <w:p>
      <w:pPr>
        <w:pStyle w:val="Heading1"/>
        <w:spacing w:after="180" w:before="360"/>
      </w:pPr>
      <w:r>
        <w:rPr>
          <w:rFonts w:ascii="EB Garamond" w:cs="EB Garamond" w:eastAsia="EB Garamond" w:hAnsi="EB Garamond"/>
          <w:b/>
          <w:bCs/>
          <w:color w:val="8b1a1a"/>
          <w:sz w:val="32"/>
          <w:szCs w:val="32"/>
        </w:rPr>
        <w:t xml:space="preserve">Voice Mode</w:t>
      </w:r>
    </w:p>
    <w:p>
      <w:pPr>
        <w:spacing w:after="120" w:line="300"/>
        <w:jc w:val="both"/>
      </w:pPr>
      <w:r>
        <w:rPr>
          <w:rFonts w:ascii="EB Garamond" w:cs="EB Garamond" w:eastAsia="EB Garamond" w:hAnsi="EB Garamond"/>
          <w:sz w:val="24"/>
          <w:szCs w:val="24"/>
        </w:rPr>
        <w:t xml:space="preserve">The artifact accepts nine uploaded audio files, one per word. When all nine are present, a Play in your voice control appears in the main toolbar. In this mode the synthesised bells are replaced by the uploaded samples, scheduled through the same Web Audio clock so the handstroke/backstroke cadence is preserved. Files are decoded in the browser and held in memory only for the duration of the session; nothing leaves the page.</w:t>
      </w:r>
    </w:p>
    <w:p>
      <w:pPr>
        <w:spacing w:after="120" w:line="300"/>
        <w:ind w:firstLine="360"/>
        <w:jc w:val="both"/>
      </w:pPr>
      <w:r>
        <w:rPr>
          <w:rFonts w:ascii="EB Garamond" w:cs="EB Garamond" w:eastAsia="EB Garamond" w:hAnsi="EB Garamond"/>
          <w:sz w:val="24"/>
          <w:szCs w:val="24"/>
        </w:rPr>
        <w:t xml:space="preserve">The intended workflow uses Voice Memos on macOS or iOS: record each word briefly and cleanly; trim the silence from both ends with the built-in trim tool; share to Files; upload to the artifact. Formats accepted are .m4a, .mp3, .wav, and .webm.</w:t>
      </w:r>
    </w:p>
    <w:p>
      <w:pPr>
        <w:spacing w:after="120" w:line="300"/>
        <w:ind w:firstLine="360"/>
        <w:jc w:val="both"/>
      </w:pPr>
      <w:r>
        <w:rPr>
          <w:rFonts w:ascii="EB Garamond" w:cs="EB Garamond" w:eastAsia="EB Garamond" w:hAnsi="EB Garamond"/>
          <w:sz w:val="24"/>
          <w:szCs w:val="24"/>
        </w:rPr>
        <w:t xml:space="preserve">A practical note on the repeated the. The same file may be uploaded to both positions 1 and 6, or two subtly different readings may be recorded—the second softer, for example, to distinguish the “inner” the between with and smell from the opening one. Either is legitimate; the choice is compositional.</w:t>
      </w:r>
    </w:p>
    <w:p>
      <w:pPr>
        <w:pStyle w:val="Heading1"/>
        <w:spacing w:after="180" w:before="360"/>
      </w:pPr>
      <w:r>
        <w:rPr>
          <w:rFonts w:ascii="EB Garamond" w:cs="EB Garamond" w:eastAsia="EB Garamond" w:hAnsi="EB Garamond"/>
          <w:b/>
          <w:bCs/>
          <w:color w:val="8b1a1a"/>
          <w:sz w:val="32"/>
          <w:szCs w:val="32"/>
        </w:rPr>
        <w:t xml:space="preserve">Extensions Proposed, Not Yet Built</w:t>
      </w:r>
    </w:p>
    <w:p>
      <w:pPr>
        <w:spacing w:after="120" w:line="300"/>
        <w:jc w:val="both"/>
      </w:pPr>
      <w:r>
        <w:rPr>
          <w:rFonts w:ascii="EB Garamond" w:cs="EB Garamond" w:eastAsia="EB Garamond" w:hAnsi="EB Garamond"/>
          <w:sz w:val="24"/>
          <w:szCs w:val="24"/>
        </w:rPr>
        <w:t xml:space="preserve">The conversation generated a constellation of extensions. They are listed here in the approximate order in which they would build upon one another. The resulting instrument, when complete, would be substantial—not a demonstration of change ringing but a compositional apparatus using its combinatorics as skeleton.</w:t>
      </w:r>
    </w:p>
    <w:p>
      <w:pPr>
        <w:pStyle w:val="Heading2"/>
        <w:spacing w:after="140" w:before="280"/>
      </w:pPr>
      <w:r>
        <w:rPr>
          <w:rFonts w:ascii="EB Garamond" w:cs="EB Garamond" w:eastAsia="EB Garamond" w:hAnsi="EB Garamond"/>
          <w:b/>
          <w:bCs/>
          <w:color w:val="2a241e"/>
          <w:sz w:val="26"/>
          <w:szCs w:val="26"/>
        </w:rPr>
        <w:t xml:space="preserve">Stedman Caters</w:t>
      </w:r>
    </w:p>
    <w:p>
      <w:pPr>
        <w:spacing w:after="120" w:line="300"/>
        <w:jc w:val="both"/>
      </w:pPr>
      <w:r>
        <w:rPr>
          <w:rFonts w:ascii="EB Garamond" w:cs="EB Garamond" w:eastAsia="EB Garamond" w:hAnsi="EB Garamond"/>
          <w:sz w:val="24"/>
          <w:szCs w:val="24"/>
        </w:rPr>
        <w:t xml:space="preserve">The next method to implement on nine bells. Stedman works in sixes, blocks of six changes, alternating between “quick” and “slow” work at the front three bells while the back six dodge in pairs. Its visual signature is paired dance figures rather than a uniform weave; its aural signature is the figure ringers are most likely to describe as beautiful. Fabian Stedman published the method in 1677 and it carries his name to this day.</w:t>
      </w:r>
    </w:p>
    <w:p>
      <w:pPr>
        <w:pStyle w:val="Heading2"/>
        <w:spacing w:after="140" w:before="280"/>
      </w:pPr>
      <w:r>
        <w:rPr>
          <w:rFonts w:ascii="EB Garamond" w:cs="EB Garamond" w:eastAsia="EB Garamond" w:hAnsi="EB Garamond"/>
          <w:b/>
          <w:bCs/>
          <w:color w:val="2a241e"/>
          <w:sz w:val="26"/>
          <w:szCs w:val="26"/>
        </w:rPr>
        <w:t xml:space="preserve">Cambridge Surprise Maximus</w:t>
      </w:r>
    </w:p>
    <w:p>
      <w:pPr>
        <w:spacing w:after="120" w:line="300"/>
        <w:jc w:val="both"/>
      </w:pPr>
      <w:r>
        <w:rPr>
          <w:rFonts w:ascii="EB Garamond" w:cs="EB Garamond" w:eastAsia="EB Garamond" w:hAnsi="EB Garamond"/>
          <w:sz w:val="24"/>
          <w:szCs w:val="24"/>
        </w:rPr>
        <w:t xml:space="preserve">The twelve-syllable reading. Surprise methods contain internal places where bells arrest their hunting momentum, producing visible knots or stations in the blue-line diagram. At twelve voices the effect would be dramatically denser than Plain Hunt Caters, and the syllable-level reading would show the acoustic texture of the phrase—re-do-lent as three colliding bells rather than one word.</w:t>
      </w:r>
    </w:p>
    <w:p>
      <w:pPr>
        <w:pStyle w:val="Heading2"/>
        <w:spacing w:after="140" w:before="280"/>
      </w:pPr>
      <w:r>
        <w:rPr>
          <w:rFonts w:ascii="EB Garamond" w:cs="EB Garamond" w:eastAsia="EB Garamond" w:hAnsi="EB Garamond"/>
          <w:b/>
          <w:bCs/>
          <w:color w:val="2a241e"/>
          <w:sz w:val="26"/>
          <w:szCs w:val="26"/>
        </w:rPr>
        <w:t xml:space="preserve">The Repeated the as a Structural Call</w:t>
      </w:r>
    </w:p>
    <w:p>
      <w:pPr>
        <w:spacing w:after="120" w:line="300"/>
        <w:jc w:val="both"/>
      </w:pPr>
      <w:r>
        <w:rPr>
          <w:rFonts w:ascii="EB Garamond" w:cs="EB Garamond" w:eastAsia="EB Garamond" w:hAnsi="EB Garamond"/>
          <w:sz w:val="24"/>
          <w:szCs w:val="24"/>
        </w:rPr>
        <w:t xml:space="preserve">A compositional conceit. In standard ringing, a bob or single is a call made by the conductor to alter the course of a composition. The appearance of the second the in a given row could be made to trigger such a call, so that the poetics of repetition in the source text would determine the structure of the ringing. I am not aware of this device being used in the existing change-ringing literature; it is available for the taking.</w:t>
      </w:r>
    </w:p>
    <w:p>
      <w:pPr>
        <w:pStyle w:val="Heading2"/>
        <w:spacing w:after="140" w:before="280"/>
      </w:pPr>
      <w:r>
        <w:rPr>
          <w:rFonts w:ascii="EB Garamond" w:cs="EB Garamond" w:eastAsia="EB Garamond" w:hAnsi="EB Garamond"/>
          <w:b/>
          <w:bCs/>
          <w:color w:val="2a241e"/>
          <w:sz w:val="26"/>
          <w:szCs w:val="26"/>
        </w:rPr>
        <w:t xml:space="preserve">Instrument Library</w:t>
      </w:r>
    </w:p>
    <w:p>
      <w:pPr>
        <w:spacing w:after="120" w:line="300"/>
        <w:jc w:val="both"/>
      </w:pPr>
      <w:r>
        <w:rPr>
          <w:rFonts w:ascii="EB Garamond" w:cs="EB Garamond" w:eastAsia="EB Garamond" w:hAnsi="EB Garamond"/>
          <w:sz w:val="24"/>
          <w:szCs w:val="24"/>
        </w:rPr>
        <w:t xml:space="preserve">The synthesised bells are one possible voice. Sampled instruments open the piece to different aesthetic readings: a Bösendorfer piano would render it meditative; timpani would make it processional; the author’s own clarinet would render it autobiographical; African drums (djembe, dundun), tabla, log drums, and marimba each propose a different register. Orchestral strings in sustained voicings would move the piece furthest from its ringing origins and toward something closer to cathedral polyphony.</w:t>
      </w:r>
    </w:p>
    <w:p>
      <w:pPr>
        <w:pStyle w:val="Heading2"/>
        <w:spacing w:after="140" w:before="280"/>
      </w:pPr>
      <w:r>
        <w:rPr>
          <w:rFonts w:ascii="EB Garamond" w:cs="EB Garamond" w:eastAsia="EB Garamond" w:hAnsi="EB Garamond"/>
          <w:b/>
          <w:bCs/>
          <w:color w:val="2a241e"/>
          <w:sz w:val="26"/>
          <w:szCs w:val="26"/>
        </w:rPr>
        <w:t xml:space="preserve">Duration Slider</w:t>
      </w:r>
    </w:p>
    <w:p>
      <w:pPr>
        <w:spacing w:after="120" w:line="300"/>
        <w:jc w:val="both"/>
      </w:pPr>
      <w:r>
        <w:rPr>
          <w:rFonts w:ascii="EB Garamond" w:cs="EB Garamond" w:eastAsia="EB Garamond" w:hAnsi="EB Garamond"/>
          <w:sz w:val="24"/>
          <w:szCs w:val="24"/>
        </w:rPr>
        <w:t xml:space="preserve">Bells are physically bound—struck once, they decay as they decay. Instruments with chosen duration introduce a compositional variable that bells cannot offer. A slider controlling note length would let the piece move between pointillist and legato realisations. At the slow end of the slider, successive notes would overlap and form vertical harmony rather than horizontal succession; the phrase would cease to be a line of speech and become a chord progression derived from permutation.</w:t>
      </w:r>
    </w:p>
    <w:p>
      <w:pPr>
        <w:pStyle w:val="Heading2"/>
        <w:spacing w:after="140" w:before="280"/>
      </w:pPr>
      <w:r>
        <w:rPr>
          <w:rFonts w:ascii="EB Garamond" w:cs="EB Garamond" w:eastAsia="EB Garamond" w:hAnsi="EB Garamond"/>
          <w:b/>
          <w:bCs/>
          <w:color w:val="2a241e"/>
          <w:sz w:val="26"/>
          <w:szCs w:val="26"/>
        </w:rPr>
        <w:t xml:space="preserve">Canon with Staggered Voice Entries</w:t>
      </w:r>
    </w:p>
    <w:p>
      <w:pPr>
        <w:spacing w:after="120" w:line="300"/>
        <w:jc w:val="both"/>
      </w:pPr>
      <w:r>
        <w:rPr>
          <w:rFonts w:ascii="EB Garamond" w:cs="EB Garamond" w:eastAsia="EB Garamond" w:hAnsi="EB Garamond"/>
          <w:sz w:val="24"/>
          <w:szCs w:val="24"/>
        </w:rPr>
        <w:t xml:space="preserve">The same permutation sequence entered at offset intervals produces vertical harmony from horizontal repetition—the canon principle of Frère Jacques applied to ringing. Voice one strikes at time zero; voice two enters n rows later with the identical sequence; voice three further behind. The offset is compositional. Combined with the instrument library, this becomes timbral canon: bells holding the structural spine, clarinet floating above, piano beneath, each running the same permutation out of phase. The nearest precedent in twentieth-century music is Steve Reich’s phase work, notably Different Trains (1988), where identical material in different timbres drifts against itself to produce dense textural counterpoint.</w:t>
      </w:r>
    </w:p>
    <w:p>
      <w:pPr>
        <w:pStyle w:val="Heading2"/>
        <w:spacing w:after="140" w:before="280"/>
      </w:pPr>
      <w:r>
        <w:rPr>
          <w:rFonts w:ascii="EB Garamond" w:cs="EB Garamond" w:eastAsia="EB Garamond" w:hAnsi="EB Garamond"/>
          <w:b/>
          <w:bCs/>
          <w:color w:val="2a241e"/>
          <w:sz w:val="26"/>
          <w:szCs w:val="26"/>
        </w:rPr>
        <w:t xml:space="preserve">Microtonal Shadow Layers</w:t>
      </w:r>
    </w:p>
    <w:p>
      <w:pPr>
        <w:spacing w:after="120" w:line="300"/>
        <w:jc w:val="both"/>
      </w:pPr>
      <w:r>
        <w:rPr>
          <w:rFonts w:ascii="EB Garamond" w:cs="EB Garamond" w:eastAsia="EB Garamond" w:hAnsi="EB Garamond"/>
          <w:sz w:val="24"/>
          <w:szCs w:val="24"/>
        </w:rPr>
        <w:t xml:space="preserve">A secondary voice tracking each bell at a pitch offset measured in cents, where one hundred cents constitutes a semitone. At zero cents the shadow vanishes into unison; at fifty cents (a quarter-tone) it produces the characteristic shimmer of Middle Eastern maqam and of Harry Partch’s microtonal instruments; at one hundred cents it becomes a conventional chord; beyond that, a frankly dissonant interval. The slider functions as a dissonance control. The effect against the diatonic bell framework would be to transform the piece from a clean peal into something faintly haunted, at the edge of Western harmonic expectation without crossing into chaos.</w:t>
      </w:r>
    </w:p>
    <w:p>
      <w:pPr>
        <w:pStyle w:val="Heading2"/>
        <w:spacing w:after="140" w:before="280"/>
      </w:pPr>
      <w:r>
        <w:rPr>
          <w:rFonts w:ascii="EB Garamond" w:cs="EB Garamond" w:eastAsia="EB Garamond" w:hAnsi="EB Garamond"/>
          <w:b/>
          <w:bCs/>
          <w:color w:val="2a241e"/>
          <w:sz w:val="26"/>
          <w:szCs w:val="26"/>
        </w:rPr>
        <w:t xml:space="preserve">Historical Tuning Systems</w:t>
      </w:r>
    </w:p>
    <w:p>
      <w:pPr>
        <w:spacing w:after="120" w:line="300"/>
        <w:jc w:val="both"/>
      </w:pPr>
      <w:r>
        <w:rPr>
          <w:rFonts w:ascii="EB Garamond" w:cs="EB Garamond" w:eastAsia="EB Garamond" w:hAnsi="EB Garamond"/>
          <w:sz w:val="24"/>
          <w:szCs w:val="24"/>
        </w:rPr>
        <w:t xml:space="preserve">Equal temperament is a nineteenth-century standardisation. Earlier systems—Pythagorean, just intonation, quarter-comma mean-tone, the various well-tempered schemes—give different interval structures with audibly different qualities. A dropdown of tuning presets would let the phrase be heard as a medieval bell tower would have rung it, as it would have sounded in the seventeenth century before equal temperament displaced the alternatives, or in just intonation with its pure thirds and fifths and its melodically strange semitones. The historical dimension complements the microtonal one: both open the vertical sonority of the piece without changing its combinatorial spine.</w:t>
      </w:r>
    </w:p>
    <w:p>
      <w:pPr>
        <w:pStyle w:val="Heading2"/>
        <w:spacing w:after="140" w:before="280"/>
      </w:pPr>
      <w:r>
        <w:rPr>
          <w:rFonts w:ascii="EB Garamond" w:cs="EB Garamond" w:eastAsia="EB Garamond" w:hAnsi="EB Garamond"/>
          <w:b/>
          <w:bCs/>
          <w:color w:val="2a241e"/>
          <w:sz w:val="26"/>
          <w:szCs w:val="26"/>
        </w:rPr>
        <w:t xml:space="preserve">Three-Dimensional Helical View</w:t>
      </w:r>
    </w:p>
    <w:p>
      <w:pPr>
        <w:spacing w:after="120" w:line="300"/>
        <w:jc w:val="both"/>
      </w:pPr>
      <w:r>
        <w:rPr>
          <w:rFonts w:ascii="EB Garamond" w:cs="EB Garamond" w:eastAsia="EB Garamond" w:hAnsi="EB Garamond"/>
          <w:sz w:val="24"/>
          <w:szCs w:val="24"/>
        </w:rPr>
        <w:t xml:space="preserve">The permutation sequence rendered as a helix, each word a coloured strand winding downward over the course of the lead. This is display work only; the underlying sequence is already computed in the existing artifact.</w:t>
      </w:r>
    </w:p>
    <w:p>
      <w:pPr>
        <w:pStyle w:val="Heading1"/>
        <w:spacing w:after="180" w:before="360"/>
      </w:pPr>
      <w:r>
        <w:rPr>
          <w:rFonts w:ascii="EB Garamond" w:cs="EB Garamond" w:eastAsia="EB Garamond" w:hAnsi="EB Garamond"/>
          <w:b/>
          <w:bCs/>
          <w:color w:val="8b1a1a"/>
          <w:sz w:val="32"/>
          <w:szCs w:val="32"/>
        </w:rPr>
        <w:t xml:space="preserve">Literature Noted</w:t>
      </w:r>
    </w:p>
    <w:p>
      <w:pPr>
        <w:spacing w:after="120" w:line="300"/>
        <w:jc w:val="both"/>
      </w:pPr>
      <w:r>
        <w:rPr>
          <w:rFonts w:ascii="EB Garamond" w:cs="EB Garamond" w:eastAsia="EB Garamond" w:hAnsi="EB Garamond"/>
          <w:sz w:val="24"/>
          <w:szCs w:val="24"/>
        </w:rPr>
        <w:t xml:space="preserve">English change ringing is documented from the mid-seventeenth century onward. The foundational treatises are Fabian Stedman’s Tintinnalogia (1668) and Campanalogia (1677), both accessible through EEBO-TCP. These establish the vocabulary—methods, leads, plain courses, bobs, singles—still in use. Stedman’s own name is now carried by a method family rather than by the man.</w:t>
      </w:r>
    </w:p>
    <w:p>
      <w:pPr>
        <w:spacing w:after="120" w:line="300"/>
        <w:ind w:firstLine="360"/>
        <w:jc w:val="both"/>
      </w:pPr>
      <w:r>
        <w:rPr>
          <w:rFonts w:ascii="EB Garamond" w:cs="EB Garamond" w:eastAsia="EB Garamond" w:hAnsi="EB Garamond"/>
          <w:sz w:val="24"/>
          <w:szCs w:val="24"/>
        </w:rPr>
        <w:t xml:space="preserve">The standard twentieth-century reference is Wilfrid G. Wilson, Change Ringing: The Art and Science of Change Ringing on Church and Hand Bells (Faber, 1965), which should be consulted for any serious implementation of named methods.</w:t>
      </w:r>
    </w:p>
    <w:p>
      <w:pPr>
        <w:spacing w:after="120" w:line="300"/>
        <w:ind w:firstLine="360"/>
        <w:jc w:val="both"/>
      </w:pPr>
      <w:r>
        <w:rPr>
          <w:rFonts w:ascii="EB Garamond" w:cs="EB Garamond" w:eastAsia="EB Garamond" w:hAnsi="EB Garamond"/>
          <w:sz w:val="24"/>
          <w:szCs w:val="24"/>
        </w:rPr>
        <w:t xml:space="preserve">The literary reference most educated English-language readers carry is Dorothy L. Sayers’ detective novel The Nine Tailors (Gollancz, 1934), constructed around a peal of Kent Treble Bob Major and including a substantial digression on ringing theory. It remains the cultural point of first encounter for most non-ringers.</w:t>
      </w:r>
    </w:p>
    <w:p>
      <w:pPr>
        <w:spacing w:after="120" w:line="300"/>
        <w:ind w:firstLine="360"/>
        <w:jc w:val="both"/>
      </w:pPr>
      <w:r>
        <w:rPr>
          <w:rFonts w:ascii="EB Garamond" w:cs="EB Garamond" w:eastAsia="EB Garamond" w:hAnsi="EB Garamond"/>
          <w:sz w:val="24"/>
          <w:szCs w:val="24"/>
        </w:rPr>
        <w:t xml:space="preserve">The mathematical reading of change ringing as group theory—a method as a Hamiltonian walk through the Cayley graph of the symmetric group Sn—was formalised over several decades beginning in the 1970s. F. J. Budden’s The Fascination of Groups (Cambridge University Press, 1972) contains an accessible chapter on the subject. Arthur T. White published a series of papers in the 1980s in mathematical journals framing named methods as specific Hamiltonian cycles in such graphs; the exact citations for White’s work I have not verified in this session and would recommend checking before committing them to any bibliography.</w:t>
      </w:r>
    </w:p>
    <w:p>
      <w:pPr>
        <w:spacing w:after="120" w:line="300"/>
        <w:ind w:firstLine="360"/>
        <w:jc w:val="both"/>
      </w:pPr>
      <w:r>
        <w:rPr>
          <w:rFonts w:ascii="EB Garamond" w:cs="EB Garamond" w:eastAsia="EB Garamond" w:hAnsi="EB Garamond"/>
          <w:sz w:val="24"/>
          <w:szCs w:val="24"/>
        </w:rPr>
        <w:t xml:space="preserve">The Central Council of Church Bell Ringers maintains the Methods Library, the definitive registry of named methods and their place notations. Any serious rendering of a named method should draw from it rather than improvise.</w:t>
      </w:r>
    </w:p>
    <w:p>
      <w:pPr>
        <w:pStyle w:val="Heading1"/>
        <w:spacing w:after="180" w:before="360"/>
      </w:pPr>
      <w:r>
        <w:rPr>
          <w:rFonts w:ascii="EB Garamond" w:cs="EB Garamond" w:eastAsia="EB Garamond" w:hAnsi="EB Garamond"/>
          <w:b/>
          <w:bCs/>
          <w:color w:val="8b1a1a"/>
          <w:sz w:val="32"/>
          <w:szCs w:val="32"/>
        </w:rPr>
        <w:t xml:space="preserve">Note on Verification</w:t>
      </w:r>
    </w:p>
    <w:p>
      <w:pPr>
        <w:spacing w:after="120" w:line="300"/>
        <w:jc w:val="both"/>
      </w:pPr>
      <w:r>
        <w:rPr>
          <w:rFonts w:ascii="EB Garamond" w:cs="EB Garamond" w:eastAsia="EB Garamond" w:hAnsi="EB Garamond"/>
          <w:sz w:val="24"/>
          <w:szCs w:val="24"/>
        </w:rPr>
        <w:t xml:space="preserve">The Stedman treatises of 1668 and 1677 are thoroughly attested and available in facsimile through Early English Books Online. The Sayers novel is a matter of record. The Wilson and Budden citations are given here from memory and should be checked against a library catalogue before the bibliography is used in any scholarly context; I believe both to be accurate but have not verified them in session. The references to Arthur T. White’s work on Cayley graphs and change ringing are real in outline—he did publish on this subject—but I have not given specific article citations because I cannot verify them, and the user should treat that line of literature as a pointer requiring independent confirmation.</w:t>
      </w:r>
    </w:p>
    <w:p>
      <w:pPr>
        <w:pStyle w:val="Heading1"/>
        <w:spacing w:after="180" w:before="360"/>
      </w:pPr>
      <w:r>
        <w:rPr>
          <w:rFonts w:ascii="EB Garamond" w:cs="EB Garamond" w:eastAsia="EB Garamond" w:hAnsi="EB Garamond"/>
          <w:b/>
          <w:bCs/>
          <w:color w:val="8b1a1a"/>
          <w:sz w:val="32"/>
          <w:szCs w:val="32"/>
        </w:rPr>
        <w:t xml:space="preserve">Selected Bibliography</w:t>
      </w:r>
    </w:p>
    <w:p>
      <w:pPr>
        <w:spacing w:after="120" w:line="300"/>
        <w:jc w:val="both"/>
      </w:pPr>
      <w:r>
        <w:rPr>
          <w:rFonts w:ascii="EB Garamond" w:cs="EB Garamond" w:eastAsia="EB Garamond" w:hAnsi="EB Garamond"/>
          <w:sz w:val="24"/>
          <w:szCs w:val="24"/>
        </w:rPr>
        <w:t xml:space="preserve">Formatted in Chicago Manual of Style, 17th edition, notes-bibliography format.</w:t>
      </w:r>
    </w:p>
    <w:p>
      <w:pPr>
        <w:spacing w:after="160" w:line="280"/>
        <w:ind w:left="360" w:hanging="360"/>
      </w:pPr>
      <w:r>
        <w:rPr>
          <w:rFonts w:ascii="EB Garamond" w:cs="EB Garamond" w:eastAsia="EB Garamond" w:hAnsi="EB Garamond"/>
          <w:sz w:val="24"/>
          <w:szCs w:val="24"/>
        </w:rPr>
        <w:t xml:space="preserve">Budden, F. J. </w:t>
      </w:r>
      <w:r>
        <w:rPr>
          <w:rFonts w:ascii="EB Garamond" w:cs="EB Garamond" w:eastAsia="EB Garamond" w:hAnsi="EB Garamond"/>
          <w:sz w:val="24"/>
          <w:szCs w:val="24"/>
        </w:rPr>
        <w:t xml:space="preserve">The Fascination of Groups</w:t>
      </w:r>
      <w:r>
        <w:rPr>
          <w:rFonts w:ascii="EB Garamond" w:cs="EB Garamond" w:eastAsia="EB Garamond" w:hAnsi="EB Garamond"/>
          <w:sz w:val="24"/>
          <w:szCs w:val="24"/>
        </w:rPr>
        <w:t xml:space="preserve">. Cambridge: Cambridge University Press, 1972.</w:t>
      </w:r>
    </w:p>
    <w:p>
      <w:pPr>
        <w:spacing w:after="160" w:line="280"/>
        <w:ind w:left="360" w:hanging="360"/>
      </w:pPr>
      <w:r>
        <w:rPr>
          <w:rFonts w:ascii="EB Garamond" w:cs="EB Garamond" w:eastAsia="EB Garamond" w:hAnsi="EB Garamond"/>
          <w:sz w:val="24"/>
          <w:szCs w:val="24"/>
        </w:rPr>
        <w:t xml:space="preserve">Sayers, Dorothy L. </w:t>
      </w:r>
      <w:r>
        <w:rPr>
          <w:rFonts w:ascii="EB Garamond" w:cs="EB Garamond" w:eastAsia="EB Garamond" w:hAnsi="EB Garamond"/>
          <w:sz w:val="24"/>
          <w:szCs w:val="24"/>
        </w:rPr>
        <w:t xml:space="preserve">The Nine Tailors</w:t>
      </w:r>
      <w:r>
        <w:rPr>
          <w:rFonts w:ascii="EB Garamond" w:cs="EB Garamond" w:eastAsia="EB Garamond" w:hAnsi="EB Garamond"/>
          <w:sz w:val="24"/>
          <w:szCs w:val="24"/>
        </w:rPr>
        <w:t xml:space="preserve">. London: Victor Gollancz, 1934.</w:t>
      </w:r>
    </w:p>
    <w:p>
      <w:pPr>
        <w:spacing w:after="160" w:line="280"/>
        <w:ind w:left="360" w:hanging="360"/>
      </w:pPr>
      <w:r>
        <w:rPr>
          <w:rFonts w:ascii="EB Garamond" w:cs="EB Garamond" w:eastAsia="EB Garamond" w:hAnsi="EB Garamond"/>
          <w:sz w:val="24"/>
          <w:szCs w:val="24"/>
        </w:rPr>
        <w:t xml:space="preserve">Stedman, Fabian. </w:t>
      </w:r>
      <w:r>
        <w:rPr>
          <w:rFonts w:ascii="EB Garamond" w:cs="EB Garamond" w:eastAsia="EB Garamond" w:hAnsi="EB Garamond"/>
          <w:sz w:val="24"/>
          <w:szCs w:val="24"/>
        </w:rPr>
        <w:t xml:space="preserve">Campanalogia: or, the Art of Ringing Improved</w:t>
      </w:r>
      <w:r>
        <w:rPr>
          <w:rFonts w:ascii="EB Garamond" w:cs="EB Garamond" w:eastAsia="EB Garamond" w:hAnsi="EB Garamond"/>
          <w:sz w:val="24"/>
          <w:szCs w:val="24"/>
        </w:rPr>
        <w:t xml:space="preserve">. London: Printed by W. Godbid for W. S., 1677. Early English Books Online Text Creation Partnership (EEBO-TCP).</w:t>
      </w:r>
    </w:p>
    <w:p>
      <w:pPr>
        <w:spacing w:after="160" w:line="280"/>
        <w:ind w:left="360" w:hanging="360"/>
      </w:pPr>
      <w:r>
        <w:rPr>
          <w:rFonts w:ascii="EB Garamond" w:cs="EB Garamond" w:eastAsia="EB Garamond" w:hAnsi="EB Garamond"/>
          <w:sz w:val="24"/>
          <w:szCs w:val="24"/>
        </w:rPr>
        <w:t xml:space="preserve">———. </w:t>
      </w:r>
      <w:r>
        <w:rPr>
          <w:rFonts w:ascii="EB Garamond" w:cs="EB Garamond" w:eastAsia="EB Garamond" w:hAnsi="EB Garamond"/>
          <w:sz w:val="24"/>
          <w:szCs w:val="24"/>
        </w:rPr>
        <w:t xml:space="preserve">Tintinnalogia, or, the Art of Ringing</w:t>
      </w:r>
      <w:r>
        <w:rPr>
          <w:rFonts w:ascii="EB Garamond" w:cs="EB Garamond" w:eastAsia="EB Garamond" w:hAnsi="EB Garamond"/>
          <w:sz w:val="24"/>
          <w:szCs w:val="24"/>
        </w:rPr>
        <w:t xml:space="preserve">. London: Printed by W. G. for Fabian Stedman, 1668. Early English Books Online Text Creation Partnership (EEBO-TCP).</w:t>
      </w:r>
    </w:p>
    <w:p>
      <w:pPr>
        <w:spacing w:after="160" w:line="280"/>
        <w:ind w:left="360" w:hanging="360"/>
      </w:pPr>
      <w:r>
        <w:rPr>
          <w:rFonts w:ascii="EB Garamond" w:cs="EB Garamond" w:eastAsia="EB Garamond" w:hAnsi="EB Garamond"/>
          <w:sz w:val="24"/>
          <w:szCs w:val="24"/>
        </w:rPr>
        <w:t xml:space="preserve">Wilson, Wilfrid G. </w:t>
      </w:r>
      <w:r>
        <w:rPr>
          <w:rFonts w:ascii="EB Garamond" w:cs="EB Garamond" w:eastAsia="EB Garamond" w:hAnsi="EB Garamond"/>
          <w:sz w:val="24"/>
          <w:szCs w:val="24"/>
        </w:rPr>
        <w:t xml:space="preserve">Change Ringing: The Art and Science of Change Ringing on Church and Hand Bells</w:t>
      </w:r>
      <w:r>
        <w:rPr>
          <w:rFonts w:ascii="EB Garamond" w:cs="EB Garamond" w:eastAsia="EB Garamond" w:hAnsi="EB Garamond"/>
          <w:sz w:val="24"/>
          <w:szCs w:val="24"/>
        </w:rPr>
        <w:t xml:space="preserve">. London: Faber and Faber, 1965.</w:t>
      </w:r>
    </w:p>
    <w:p>
      <w:pPr>
        <w:spacing w:after="240" w:before="200"/>
        <w:jc w:val="center"/>
      </w:pPr>
      <w:r>
        <w:rPr>
          <w:rFonts w:ascii="EB Garamond" w:cs="EB Garamond" w:eastAsia="EB Garamond" w:hAnsi="EB Garamond"/>
          <w:color w:val="5a4f42"/>
          <w:sz w:val="22"/>
          <w:szCs w:val="22"/>
        </w:rPr>
        <w:t xml:space="preserve">✦  ✦  ✦</w:t>
      </w:r>
    </w:p>
    <w:p>
      <w:pPr>
        <w:spacing w:after="60" w:before="0"/>
        <w:jc w:val="center"/>
      </w:pPr>
      <w:r>
        <w:rPr>
          <w:rFonts w:ascii="EB Garamond" w:cs="EB Garamond" w:eastAsia="EB Garamond" w:hAnsi="EB Garamond"/>
          <w:color w:val="5a4f42"/>
          <w:sz w:val="20"/>
          <w:szCs w:val="20"/>
        </w:rPr>
        <w:t xml:space="preserve">Typeset in EB Garamond. Produced in collaboration with Claude Opus 4.7, April 2026.</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B Garamond" w:cs="EB Garamond" w:eastAsia="EB Garamond" w:hAnsi="EB 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EB Garamond" w:cs="EB Garamond" w:eastAsia="EB Garamond" w:hAnsi="EB Garamond"/>
      <w:b/>
      <w:bCs/>
      <w:color w:val="8b1a1a"/>
      <w:sz w:val="32"/>
      <w:szCs w:val="32"/>
    </w:rPr>
  </w:style>
  <w:style w:type="paragraph" w:styleId="Heading2">
    <w:name w:val="Heading 2"/>
    <w:basedOn w:val="Normal"/>
    <w:next w:val="Normal"/>
    <w:qFormat/>
    <w:pPr>
      <w:spacing w:after="140" w:before="280"/>
      <w:outlineLvl w:val="1"/>
    </w:pPr>
    <w:rPr>
      <w:rFonts w:ascii="EB Garamond" w:cs="EB Garamond" w:eastAsia="EB Garamond" w:hAnsi="EB Garamond"/>
      <w:b/>
      <w:bCs/>
      <w:color w:val="2a241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Permutation in Nine Voices</dc:title>
  <dc:creator>William Rubel</dc:creator>
  <dc:description>Working notes on change ringing applied to the phrase 'the air is redolent with the smell of garlic'</dc:description>
  <cp:lastModifiedBy>Un-named</cp:lastModifiedBy>
  <cp:revision>1</cp:revision>
  <dcterms:created xsi:type="dcterms:W3CDTF">2026-04-22T09:23:57.098Z</dcterms:created>
  <dcterms:modified xsi:type="dcterms:W3CDTF">2026-04-22T09:23:57.099Z</dcterms:modified>
</cp:coreProperties>
</file>

<file path=docProps/custom.xml><?xml version="1.0" encoding="utf-8"?>
<Properties xmlns="http://schemas.openxmlformats.org/officeDocument/2006/custom-properties" xmlns:vt="http://schemas.openxmlformats.org/officeDocument/2006/docPropsVTypes"/>
</file>