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ffcc2bf3b05aeaf518ddcab75acfbe9f66f107"/>
    <w:p>
      <w:pPr>
        <w:pStyle w:val="Heading1"/>
      </w:pPr>
      <w:r>
        <w:t xml:space="preserve">Aspect-Based Sentiment Analysis of Earnings Calls for Cross-Firm Return Spillover Prediction</w:t>
      </w:r>
    </w:p>
    <w:p>
      <w:pPr>
        <w:pStyle w:val="FirstParagraph"/>
      </w:pPr>
      <w:r>
        <w:rPr>
          <w:bCs/>
          <w:b/>
        </w:rPr>
        <w:t xml:space="preserve">Darren Dsouza</w:t>
      </w:r>
      <w:r>
        <w:t xml:space="preserve"> </w:t>
      </w:r>
      <w:r>
        <w:t xml:space="preserve">Department of Data Science, CHRIST (Deemed to be University), Bengaluru</w:t>
      </w:r>
    </w:p>
    <w:p>
      <w:r>
        <w:pict>
          <v:rect style="width:0;height:1.5pt" o:hralign="center" o:hrstd="t" o:hr="t"/>
        </w:pict>
      </w:r>
    </w:p>
    <w:bookmarkStart w:id="20" w:name="problem-statement"/>
    <w:p>
      <w:pPr>
        <w:pStyle w:val="Heading2"/>
      </w:pPr>
      <w:r>
        <w:t xml:space="preserve">1. Problem Statement</w:t>
      </w:r>
    </w:p>
    <w:p>
      <w:pPr>
        <w:pStyle w:val="FirstParagraph"/>
      </w:pPr>
      <w:r>
        <w:t xml:space="preserve">Most financial NLP work on earnings calls compresses an entire transcript into a single document-level sentiment score. This discards information about</w:t>
      </w:r>
      <w:r>
        <w:t xml:space="preserve"> </w:t>
      </w:r>
      <w:r>
        <w:rPr>
          <w:iCs/>
          <w:i/>
        </w:rPr>
        <w:t xml:space="preserve">which</w:t>
      </w:r>
      <w:r>
        <w:t xml:space="preserve"> </w:t>
      </w:r>
      <w:r>
        <w:t xml:space="preserve">topic — revenue, guidance, cost, attrition — drove the tone of the call. A call where management sounds upbeat about revenue but guarded about margins is not well described by one number, yet investors plausibly price these sub-topics differently, and downstream document-level scores cannot distinguish management’s prepared remarks from analysts’ pointed questions.</w:t>
      </w:r>
    </w:p>
    <w:p>
      <w:pPr>
        <w:pStyle w:val="BodyText"/>
      </w:pPr>
      <w:r>
        <w:t xml:space="preserve">This project addresses a narrow, testable NLP + application question:</w:t>
      </w:r>
      <w:r>
        <w:t xml:space="preserve"> </w:t>
      </w:r>
      <w:r>
        <w:rPr>
          <w:bCs/>
          <w:b/>
        </w:rPr>
        <w:t xml:space="preserve">can aspect-level sentiment extracted from earnings call transcripts carry information that a single document-level sentiment score discards, and can this be evaluated both as an NLP task and through a downstream financial application?</w:t>
      </w:r>
    </w:p>
    <w:p>
      <w:pPr>
        <w:pStyle w:val="BodyText"/>
      </w:pPr>
      <w:r>
        <w:t xml:space="preserve">The specific real-world domain is Indian equities: earnings call transcripts from NSE-listed firms across five sectors (Banking, IT Services, Pharma, Metals, FMCG), scored aspect-by-aspect and used to test whether they explain cross-sectional peer-firm stock return movements — the</w:t>
      </w:r>
      <w:r>
        <w:t xml:space="preserve"> </w:t>
      </w:r>
      <w:r>
        <w:t xml:space="preserve">“</w:t>
      </w:r>
      <w:r>
        <w:t xml:space="preserve">spillover</w:t>
      </w:r>
      <w:r>
        <w:t xml:space="preserve">”</w:t>
      </w:r>
      <w:r>
        <w:t xml:space="preserve"> </w:t>
      </w:r>
      <w:r>
        <w:t xml:space="preserve">effect where one firm’s disclosure moves its peers’ prices.</w:t>
      </w:r>
    </w:p>
    <w:p>
      <w:r>
        <w:pict>
          <v:rect style="width:0;height:1.5pt" o:hralign="center" o:hrstd="t" o:hr="t"/>
        </w:pict>
      </w:r>
    </w:p>
    <w:bookmarkEnd w:id="20"/>
    <w:bookmarkStart w:id="21" w:name="literature-survey"/>
    <w:p>
      <w:pPr>
        <w:pStyle w:val="Heading2"/>
      </w:pPr>
      <w:r>
        <w:t xml:space="preserve">2. Literature Survey</w:t>
      </w:r>
    </w:p>
    <w:p>
      <w:pPr>
        <w:pStyle w:val="FirstParagraph"/>
      </w:pPr>
      <w:r>
        <w:rPr>
          <w:bCs/>
          <w:b/>
        </w:rPr>
        <w:t xml:space="preserve">Tetlock (2007),</w:t>
      </w:r>
      <w:r>
        <w:rPr>
          <w:bCs/>
          <w:b/>
        </w:rPr>
        <w:t xml:space="preserve"> </w:t>
      </w:r>
      <w:r>
        <w:rPr>
          <w:bCs/>
          <w:b/>
        </w:rPr>
        <w:t xml:space="preserve">“</w:t>
      </w:r>
      <w:r>
        <w:rPr>
          <w:bCs/>
          <w:b/>
        </w:rPr>
        <w:t xml:space="preserve">Giving Content to Investor Sentiment.</w:t>
      </w:r>
      <w:r>
        <w:rPr>
          <w:bCs/>
          <w:b/>
        </w:rPr>
        <w:t xml:space="preserve">”</w:t>
      </w:r>
      <w:r>
        <w:t xml:space="preserve"> </w:t>
      </w:r>
      <w:r>
        <w:t xml:space="preserve">Establishes that media-derived sentiment predicts short-horizon stock returns independent of fundamentals, and that this effect reverses over time. This paper grounds the broader premise that textual tone is a legitimate pricing signal, not just noise — the foundation this project builds on.</w:t>
      </w:r>
    </w:p>
    <w:p>
      <w:pPr>
        <w:pStyle w:val="BodyText"/>
      </w:pPr>
      <w:r>
        <w:rPr>
          <w:bCs/>
          <w:b/>
        </w:rPr>
        <w:t xml:space="preserve">Price, Doran, Peterson &amp; Bliss (2012),</w:t>
      </w:r>
      <w:r>
        <w:rPr>
          <w:bCs/>
          <w:b/>
        </w:rPr>
        <w:t xml:space="preserve"> </w:t>
      </w:r>
      <w:r>
        <w:rPr>
          <w:bCs/>
          <w:b/>
        </w:rPr>
        <w:t xml:space="preserve">“</w:t>
      </w:r>
      <w:r>
        <w:rPr>
          <w:bCs/>
          <w:b/>
        </w:rPr>
        <w:t xml:space="preserve">Earnings Conference Calls and Stock Returns.</w:t>
      </w:r>
      <w:r>
        <w:rPr>
          <w:bCs/>
          <w:b/>
        </w:rPr>
        <w:t xml:space="preserve">”</w:t>
      </w:r>
      <w:r>
        <w:t xml:space="preserve"> </w:t>
      </w:r>
      <w:r>
        <w:t xml:space="preserve">The foundational result for this project’s domain: shows that the linguistic tone of an earnings call — independent of the earnings surprise itself — significantly predicts abnormal returns and trading volume over the following weeks. Critically, this and related work in the space score sentiment at the whole-call level, never decomposing it by topic. This is the specific gap the project’s ABSA approach targets.</w:t>
      </w:r>
    </w:p>
    <w:p>
      <w:pPr>
        <w:pStyle w:val="BodyText"/>
      </w:pPr>
      <w:r>
        <w:rPr>
          <w:bCs/>
          <w:b/>
        </w:rPr>
        <w:t xml:space="preserve">Araci (2019),</w:t>
      </w:r>
      <w:r>
        <w:rPr>
          <w:bCs/>
          <w:b/>
        </w:rPr>
        <w:t xml:space="preserve"> </w:t>
      </w:r>
      <w:r>
        <w:rPr>
          <w:bCs/>
          <w:b/>
        </w:rPr>
        <w:t xml:space="preserve">“</w:t>
      </w:r>
      <w:r>
        <w:rPr>
          <w:bCs/>
          <w:b/>
        </w:rPr>
        <w:t xml:space="preserve">FinBERT: Financial Sentiment Analysis with Pre-trained Language Models.</w:t>
      </w:r>
      <w:r>
        <w:rPr>
          <w:bCs/>
          <w:b/>
        </w:rPr>
        <w:t xml:space="preserve">”</w:t>
      </w:r>
      <w:r>
        <w:t xml:space="preserve"> </w:t>
      </w:r>
      <w:r>
        <w:t xml:space="preserve">Introduces FinBERT, a BERT variant fine-tuned on financial text, addressing the problem that generic sentiment models and dictionaries misclassify ordinary financial vocabulary (e.g.,</w:t>
      </w:r>
      <w:r>
        <w:t xml:space="preserve"> </w:t>
      </w:r>
      <w:r>
        <w:t xml:space="preserve">“</w:t>
      </w:r>
      <w:r>
        <w:t xml:space="preserve">liability,</w:t>
      </w:r>
      <w:r>
        <w:t xml:space="preserve">”</w:t>
      </w:r>
      <w:r>
        <w:t xml:space="preserve"> </w:t>
      </w:r>
      <w:r>
        <w:t xml:space="preserve">“</w:t>
      </w:r>
      <w:r>
        <w:t xml:space="preserve">tax</w:t>
      </w:r>
      <w:r>
        <w:t xml:space="preserve">”</w:t>
      </w:r>
      <w:r>
        <w:t xml:space="preserve">) as negative when it is often neutral in context. FinBERT is the sentence-level sentiment scorer used throughout this project.</w:t>
      </w:r>
    </w:p>
    <w:p>
      <w:pPr>
        <w:pStyle w:val="BodyText"/>
      </w:pPr>
      <w:r>
        <w:rPr>
          <w:bCs/>
          <w:b/>
        </w:rPr>
        <w:t xml:space="preserve">Pontiki et al. (2014), SemEval-2014 Task 4: Aspect-Based Sentiment Analysis.</w:t>
      </w:r>
      <w:r>
        <w:t xml:space="preserve"> </w:t>
      </w:r>
      <w:r>
        <w:t xml:space="preserve">Formalizes the ABSA task — decomposing a document into per-topic (aspect) sentiment rather than a single polarity score. This project adapts the spirit of the ABSA formulation to a domain (earnings calls) that standard ABSA benchmarks do not cover, requiring a custom, sector-aware aspect taxonomy rather than a fixed, pre-defined aspect set.</w:t>
      </w:r>
    </w:p>
    <w:p>
      <w:pPr>
        <w:pStyle w:val="BodyText"/>
      </w:pPr>
      <w:r>
        <w:rPr>
          <w:bCs/>
          <w:b/>
        </w:rPr>
        <w:t xml:space="preserve">Consoli, Barbaglia &amp; Manzan (2022),</w:t>
      </w:r>
      <w:r>
        <w:rPr>
          <w:bCs/>
          <w:b/>
        </w:rPr>
        <w:t xml:space="preserve"> </w:t>
      </w:r>
      <w:r>
        <w:rPr>
          <w:bCs/>
          <w:b/>
        </w:rPr>
        <w:t xml:space="preserve">“</w:t>
      </w:r>
      <w:r>
        <w:rPr>
          <w:bCs/>
          <w:b/>
        </w:rPr>
        <w:t xml:space="preserve">Fine-grained, Aspect-based Sentiment Analysis on Economic and Financial Lexicon.</w:t>
      </w:r>
      <w:r>
        <w:rPr>
          <w:bCs/>
          <w:b/>
        </w:rPr>
        <w:t xml:space="preserve">”</w:t>
      </w:r>
      <w:r>
        <w:t xml:space="preserve"> </w:t>
      </w:r>
      <w:r>
        <w:t xml:space="preserve">Proposes FiGAS, an unsupervised fine-grained aspect method for economic text. Relevant as the closest prior work applying aspect-level decomposition specifically to financial/economic text, though not to earnings calls or return spillovers specifically.</w:t>
      </w:r>
    </w:p>
    <w:p>
      <w:pPr>
        <w:pStyle w:val="BodyText"/>
      </w:pPr>
      <w:r>
        <w:rPr>
          <w:bCs/>
          <w:b/>
        </w:rPr>
        <w:t xml:space="preserve">Synthesis of the gap:</w:t>
      </w:r>
      <w:r>
        <w:t xml:space="preserve"> </w:t>
      </w:r>
      <w:r>
        <w:t xml:space="preserve">sentiment is an established pricing factor (Tetlock); earnings-call sentiment specifically predicts returns at the document level (Price et al.); transformer-based financial sentiment scoring is mature (Araci); and aspect-level decomposition is validated in adjacent settings (Pontiki; Consoli et al.). No prior work combines these: using aspect-level earnings-call sentiment as a</w:t>
      </w:r>
      <w:r>
        <w:t xml:space="preserve"> </w:t>
      </w:r>
      <w:r>
        <w:rPr>
          <w:iCs/>
          <w:i/>
        </w:rPr>
        <w:t xml:space="preserve">peer-firm spillover</w:t>
      </w:r>
      <w:r>
        <w:t xml:space="preserve"> </w:t>
      </w:r>
      <w:r>
        <w:t xml:space="preserve">signal, evaluated with a full NLP-appropriate pipeline and rigorous multiple-hypothesis correction, has not been done. This is the gap this project addresses.</w:t>
      </w:r>
    </w:p>
    <w:p>
      <w:r>
        <w:pict>
          <v:rect style="width:0;height:1.5pt" o:hralign="center" o:hrstd="t" o:hr="t"/>
        </w:pict>
      </w:r>
    </w:p>
    <w:bookmarkEnd w:id="21"/>
    <w:bookmarkStart w:id="22" w:name="research-gap-problem-statement-formal"/>
    <w:p>
      <w:pPr>
        <w:pStyle w:val="Heading2"/>
      </w:pPr>
      <w:r>
        <w:t xml:space="preserve">3. Research Gap / Problem Statement (Formal)</w:t>
      </w:r>
    </w:p>
    <w:p>
      <w:pPr>
        <w:pStyle w:val="FirstParagraph"/>
      </w:pPr>
      <w:r>
        <w:rPr>
          <w:bCs/>
          <w:b/>
        </w:rPr>
        <w:t xml:space="preserve">RQ:</w:t>
      </w:r>
      <w:r>
        <w:t xml:space="preserve"> </w:t>
      </w:r>
      <w:r>
        <w:t xml:space="preserve">Does aspect-level sentiment extracted from earnings call transcripts, via a custom NLP pipeline, predict peer-firm abnormal stock returns better than whole-document sentiment — and can this aspect-level extraction and scoring pipeline itself be shown to be accurate as an NLP system, independent of its downstream financial performance?</w:t>
      </w:r>
    </w:p>
    <w:p>
      <w:pPr>
        <w:pStyle w:val="BodyText"/>
      </w:pPr>
      <w:r>
        <w:t xml:space="preserve">The second half of this question is the project’s core NLP deliverable and is addressed in Section 7.</w:t>
      </w:r>
    </w:p>
    <w:p>
      <w:r>
        <w:pict>
          <v:rect style="width:0;height:1.5pt" o:hralign="center" o:hrstd="t" o:hr="t"/>
        </w:pict>
      </w:r>
    </w:p>
    <w:bookmarkEnd w:id="22"/>
    <w:bookmarkStart w:id="23" w:name="dataset"/>
    <w:p>
      <w:pPr>
        <w:pStyle w:val="Heading2"/>
      </w:pPr>
      <w:r>
        <w:t xml:space="preserve">4. Dataset</w:t>
      </w:r>
    </w:p>
    <w:p>
      <w:pPr>
        <w:numPr>
          <w:ilvl w:val="0"/>
          <w:numId w:val="1001"/>
        </w:numPr>
        <w:pStyle w:val="Compact"/>
      </w:pPr>
      <w:r>
        <w:rPr>
          <w:bCs/>
          <w:b/>
        </w:rPr>
        <w:t xml:space="preserve">Source:</w:t>
      </w:r>
      <w:r>
        <w:t xml:space="preserve"> </w:t>
      </w:r>
      <w:r>
        <w:t xml:space="preserve">Earnings call transcripts for 20 NSE-listed firms across five sectors:</w:t>
      </w:r>
      <w:r>
        <w:t xml:space="preserve"> </w:t>
      </w:r>
      <w:r>
        <w:t xml:space="preserve">Banking (HDFC Bank, ICICI Bank, SBI, Axis Bank), IT Services (Infosys, TCS, Wipro, HCLTech), Pharma (Sun Pharma, Dr. Reddy’s, Cipla, Aurobindo Pharma), Metals (Hindalco, JSW Steel, SAIL, Jindal Steel), FMCG (HUL, Marico, Britannia, Godrej Consumer).</w:t>
      </w:r>
    </w:p>
    <w:p>
      <w:pPr>
        <w:numPr>
          <w:ilvl w:val="0"/>
          <w:numId w:val="1001"/>
        </w:numPr>
        <w:pStyle w:val="Compact"/>
      </w:pPr>
      <w:r>
        <w:rPr>
          <w:bCs/>
          <w:b/>
        </w:rPr>
        <w:t xml:space="preserve">Size:</w:t>
      </w:r>
      <w:r>
        <w:t xml:space="preserve"> </w:t>
      </w:r>
      <w:r>
        <w:t xml:space="preserve">487 earnings calls, spanning 24 October 2015 to 27 May 2026.</w:t>
      </w:r>
    </w:p>
    <w:p>
      <w:pPr>
        <w:numPr>
          <w:ilvl w:val="0"/>
          <w:numId w:val="1001"/>
        </w:numPr>
        <w:pStyle w:val="Compact"/>
      </w:pPr>
      <w:r>
        <w:rPr>
          <w:bCs/>
          <w:b/>
        </w:rPr>
        <w:t xml:space="preserve">Raw corpus:</w:t>
      </w:r>
      <w:r>
        <w:t xml:space="preserve"> </w:t>
      </w:r>
      <w:r>
        <w:t xml:space="preserve">180,245 sentence-level rows.</w:t>
      </w:r>
    </w:p>
    <w:p>
      <w:pPr>
        <w:numPr>
          <w:ilvl w:val="0"/>
          <w:numId w:val="1001"/>
        </w:numPr>
        <w:pStyle w:val="Compact"/>
      </w:pPr>
      <w:r>
        <w:rPr>
          <w:bCs/>
          <w:b/>
        </w:rPr>
        <w:t xml:space="preserve">After preprocessing:</w:t>
      </w:r>
      <w:r>
        <w:t xml:space="preserve"> </w:t>
      </w:r>
      <w:r>
        <w:t xml:space="preserve">179,109 unique sentences (99.4% retention).</w:t>
      </w:r>
    </w:p>
    <w:p>
      <w:pPr>
        <w:numPr>
          <w:ilvl w:val="0"/>
          <w:numId w:val="1001"/>
        </w:numPr>
        <w:pStyle w:val="Compact"/>
      </w:pPr>
      <w:r>
        <w:rPr>
          <w:bCs/>
          <w:b/>
        </w:rPr>
        <w:t xml:space="preserve">Aspect-tagged output:</w:t>
      </w:r>
      <w:r>
        <w:t xml:space="preserve"> </w:t>
      </w:r>
      <w:r>
        <w:t xml:space="preserve">104,945 sentence–aspect pairs, across a 42-aspect taxonomy (6 universal aspects shared across sectors — revenue, margin, guidance, cost, capex, demand — plus 36 sector-specific aspects, e.g., loan growth and capital adequacy for Banking, attrition and total contract value for IT Services, approvals and US business for Pharma).</w:t>
      </w:r>
    </w:p>
    <w:p>
      <w:pPr>
        <w:numPr>
          <w:ilvl w:val="0"/>
          <w:numId w:val="1001"/>
        </w:numPr>
        <w:pStyle w:val="Compact"/>
      </w:pPr>
      <w:r>
        <w:rPr>
          <w:bCs/>
          <w:b/>
        </w:rPr>
        <w:t xml:space="preserve">Sample breakdown: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Sector</w:t>
            </w:r>
          </w:p>
        </w:tc>
        <w:tc>
          <w:tcPr/>
          <w:p>
            <w:pPr>
              <w:pStyle w:val="Compact"/>
              <w:jc w:val="left"/>
            </w:pPr>
            <w:r>
              <w:t xml:space="preserve">Firms</w:t>
            </w:r>
          </w:p>
        </w:tc>
        <w:tc>
          <w:tcPr/>
          <w:p>
            <w:pPr>
              <w:pStyle w:val="Compact"/>
              <w:jc w:val="left"/>
            </w:pPr>
            <w:r>
              <w:t xml:space="preserve">Calls</w:t>
            </w:r>
          </w:p>
        </w:tc>
        <w:tc>
          <w:tcPr/>
          <w:p>
            <w:pPr>
              <w:pStyle w:val="Compact"/>
              <w:jc w:val="left"/>
            </w:pPr>
            <w:r>
              <w:t xml:space="preserve">Universal aspects</w:t>
            </w:r>
          </w:p>
        </w:tc>
        <w:tc>
          <w:tcPr/>
          <w:p>
            <w:pPr>
              <w:pStyle w:val="Compact"/>
              <w:jc w:val="left"/>
            </w:pPr>
            <w:r>
              <w:t xml:space="preserve">Sector-specific aspects</w:t>
            </w:r>
          </w:p>
        </w:tc>
      </w:tr>
      <w:tr>
        <w:tc>
          <w:tcPr/>
          <w:p>
            <w:pPr>
              <w:pStyle w:val="Compact"/>
              <w:jc w:val="left"/>
            </w:pPr>
            <w:r>
              <w:t xml:space="preserve">Banking</w:t>
            </w:r>
          </w:p>
        </w:tc>
        <w:tc>
          <w:tcPr/>
          <w:p>
            <w:pPr>
              <w:pStyle w:val="Compact"/>
              <w:jc w:val="left"/>
            </w:pPr>
            <w:r>
              <w:t xml:space="preserve">4</w:t>
            </w:r>
          </w:p>
        </w:tc>
        <w:tc>
          <w:tcPr/>
          <w:p>
            <w:pPr>
              <w:pStyle w:val="Compact"/>
              <w:jc w:val="left"/>
            </w:pPr>
            <w:r>
              <w:t xml:space="preserve">86</w:t>
            </w:r>
          </w:p>
        </w:tc>
        <w:tc>
          <w:tcPr/>
          <w:p>
            <w:pPr>
              <w:pStyle w:val="Compact"/>
              <w:jc w:val="left"/>
            </w:pPr>
            <w:r>
              <w:t xml:space="preserve">6</w:t>
            </w:r>
          </w:p>
        </w:tc>
        <w:tc>
          <w:tcPr/>
          <w:p>
            <w:pPr>
              <w:pStyle w:val="Compact"/>
              <w:jc w:val="left"/>
            </w:pPr>
            <w:r>
              <w:t xml:space="preserve">8</w:t>
            </w:r>
          </w:p>
        </w:tc>
      </w:tr>
      <w:tr>
        <w:tc>
          <w:tcPr/>
          <w:p>
            <w:pPr>
              <w:pStyle w:val="Compact"/>
              <w:jc w:val="left"/>
            </w:pPr>
            <w:r>
              <w:t xml:space="preserve">FMCG</w:t>
            </w:r>
          </w:p>
        </w:tc>
        <w:tc>
          <w:tcPr/>
          <w:p>
            <w:pPr>
              <w:pStyle w:val="Compact"/>
              <w:jc w:val="left"/>
            </w:pPr>
            <w:r>
              <w:t xml:space="preserve">4</w:t>
            </w:r>
          </w:p>
        </w:tc>
        <w:tc>
          <w:tcPr/>
          <w:p>
            <w:pPr>
              <w:pStyle w:val="Compact"/>
              <w:jc w:val="left"/>
            </w:pPr>
            <w:r>
              <w:t xml:space="preserve">89</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IT Services</w:t>
            </w:r>
          </w:p>
        </w:tc>
        <w:tc>
          <w:tcPr/>
          <w:p>
            <w:pPr>
              <w:pStyle w:val="Compact"/>
              <w:jc w:val="left"/>
            </w:pPr>
            <w:r>
              <w:t xml:space="preserve">4</w:t>
            </w:r>
          </w:p>
        </w:tc>
        <w:tc>
          <w:tcPr/>
          <w:p>
            <w:pPr>
              <w:pStyle w:val="Compact"/>
              <w:jc w:val="left"/>
            </w:pPr>
            <w:r>
              <w:t xml:space="preserve">105</w:t>
            </w:r>
          </w:p>
        </w:tc>
        <w:tc>
          <w:tcPr/>
          <w:p>
            <w:pPr>
              <w:pStyle w:val="Compact"/>
              <w:jc w:val="left"/>
            </w:pPr>
            <w:r>
              <w:t xml:space="preserve">6</w:t>
            </w:r>
          </w:p>
        </w:tc>
        <w:tc>
          <w:tcPr/>
          <w:p>
            <w:pPr>
              <w:pStyle w:val="Compact"/>
              <w:jc w:val="left"/>
            </w:pPr>
            <w:r>
              <w:t xml:space="preserve">8</w:t>
            </w:r>
          </w:p>
        </w:tc>
      </w:tr>
      <w:tr>
        <w:tc>
          <w:tcPr/>
          <w:p>
            <w:pPr>
              <w:pStyle w:val="Compact"/>
              <w:jc w:val="left"/>
            </w:pPr>
            <w:r>
              <w:t xml:space="preserve">Metals</w:t>
            </w:r>
          </w:p>
        </w:tc>
        <w:tc>
          <w:tcPr/>
          <w:p>
            <w:pPr>
              <w:pStyle w:val="Compact"/>
              <w:jc w:val="left"/>
            </w:pPr>
            <w:r>
              <w:t xml:space="preserve">4</w:t>
            </w:r>
          </w:p>
        </w:tc>
        <w:tc>
          <w:tcPr/>
          <w:p>
            <w:pPr>
              <w:pStyle w:val="Compact"/>
              <w:jc w:val="left"/>
            </w:pPr>
            <w:r>
              <w:t xml:space="preserve">95</w:t>
            </w:r>
          </w:p>
        </w:tc>
        <w:tc>
          <w:tcPr/>
          <w:p>
            <w:pPr>
              <w:pStyle w:val="Compact"/>
              <w:jc w:val="left"/>
            </w:pPr>
            <w:r>
              <w:t xml:space="preserve">6</w:t>
            </w:r>
          </w:p>
        </w:tc>
        <w:tc>
          <w:tcPr/>
          <w:p>
            <w:pPr>
              <w:pStyle w:val="Compact"/>
              <w:jc w:val="left"/>
            </w:pPr>
            <w:r>
              <w:t xml:space="preserve">7</w:t>
            </w:r>
          </w:p>
        </w:tc>
      </w:tr>
      <w:tr>
        <w:tc>
          <w:tcPr/>
          <w:p>
            <w:pPr>
              <w:pStyle w:val="Compact"/>
              <w:jc w:val="left"/>
            </w:pPr>
            <w:r>
              <w:t xml:space="preserve">Pharma</w:t>
            </w:r>
          </w:p>
        </w:tc>
        <w:tc>
          <w:tcPr/>
          <w:p>
            <w:pPr>
              <w:pStyle w:val="Compact"/>
              <w:jc w:val="left"/>
            </w:pPr>
            <w:r>
              <w:t xml:space="preserve">4</w:t>
            </w:r>
          </w:p>
        </w:tc>
        <w:tc>
          <w:tcPr/>
          <w:p>
            <w:pPr>
              <w:pStyle w:val="Compact"/>
              <w:jc w:val="left"/>
            </w:pPr>
            <w:r>
              <w:t xml:space="preserve">112</w:t>
            </w:r>
          </w:p>
        </w:tc>
        <w:tc>
          <w:tcPr/>
          <w:p>
            <w:pPr>
              <w:pStyle w:val="Compact"/>
              <w:jc w:val="left"/>
            </w:pPr>
            <w:r>
              <w:t xml:space="preserve">6</w:t>
            </w:r>
          </w:p>
        </w:tc>
        <w:tc>
          <w:tcPr/>
          <w:p>
            <w:pPr>
              <w:pStyle w:val="Compact"/>
              <w:jc w:val="left"/>
            </w:pPr>
            <w:r>
              <w:t xml:space="preserve">7</w:t>
            </w:r>
          </w:p>
        </w:tc>
      </w:tr>
      <w:tr>
        <w:tc>
          <w:tcPr/>
          <w:p>
            <w:pPr>
              <w:pStyle w:val="Compact"/>
              <w:jc w:val="left"/>
            </w:pPr>
            <w:r>
              <w:rPr>
                <w:bCs/>
                <w:b/>
              </w:rPr>
              <w:t xml:space="preserve">Total</w:t>
            </w:r>
          </w:p>
        </w:tc>
        <w:tc>
          <w:tcPr/>
          <w:p>
            <w:pPr>
              <w:pStyle w:val="Compact"/>
              <w:jc w:val="left"/>
            </w:pPr>
            <w:r>
              <w:rPr>
                <w:bCs/>
                <w:b/>
              </w:rPr>
              <w:t xml:space="preserve">20</w:t>
            </w:r>
          </w:p>
        </w:tc>
        <w:tc>
          <w:tcPr/>
          <w:p>
            <w:pPr>
              <w:pStyle w:val="Compact"/>
              <w:jc w:val="left"/>
            </w:pPr>
            <w:r>
              <w:rPr>
                <w:bCs/>
                <w:b/>
              </w:rPr>
              <w:t xml:space="preserve">487</w:t>
            </w:r>
          </w:p>
        </w:tc>
        <w:tc>
          <w:tcPr/>
          <w:p>
            <w:pPr>
              <w:pStyle w:val="Compact"/>
              <w:jc w:val="left"/>
            </w:pPr>
            <w:r>
              <w:rPr>
                <w:bCs/>
                <w:b/>
              </w:rPr>
              <w:t xml:space="preserve">6</w:t>
            </w:r>
          </w:p>
        </w:tc>
        <w:tc>
          <w:tcPr/>
          <w:p>
            <w:pPr>
              <w:pStyle w:val="Compact"/>
              <w:jc w:val="left"/>
            </w:pPr>
            <w:r>
              <w:rPr>
                <w:bCs/>
                <w:b/>
              </w:rPr>
              <w:t xml:space="preserve">36</w:t>
            </w:r>
          </w:p>
        </w:tc>
      </w:tr>
    </w:tbl>
    <w:p>
      <w:r>
        <w:pict>
          <v:rect style="width:0;height:1.5pt" o:hralign="center" o:hrstd="t" o:hr="t"/>
        </w:pict>
      </w:r>
    </w:p>
    <w:bookmarkEnd w:id="23"/>
    <w:bookmarkStart w:id="24" w:name="text-preprocessing"/>
    <w:p>
      <w:pPr>
        <w:pStyle w:val="Heading2"/>
      </w:pPr>
      <w:r>
        <w:t xml:space="preserve">5. Text Preprocessing</w:t>
      </w:r>
    </w:p>
    <w:p>
      <w:pPr>
        <w:numPr>
          <w:ilvl w:val="0"/>
          <w:numId w:val="1002"/>
        </w:numPr>
        <w:pStyle w:val="Compact"/>
      </w:pPr>
      <w:r>
        <w:rPr>
          <w:bCs/>
          <w:b/>
        </w:rPr>
        <w:t xml:space="preserve">Segmentation:</w:t>
      </w:r>
      <w:r>
        <w:t xml:space="preserve"> </w:t>
      </w:r>
      <w:r>
        <w:t xml:space="preserve">raw transcripts split into individual sentences with speaker labels preserved (management vs. analyst), enabling downstream construction of management-only and analyst-only sentiment variants.</w:t>
      </w:r>
    </w:p>
    <w:p>
      <w:pPr>
        <w:numPr>
          <w:ilvl w:val="0"/>
          <w:numId w:val="1002"/>
        </w:numPr>
        <w:pStyle w:val="Compact"/>
      </w:pPr>
      <w:r>
        <w:rPr>
          <w:bCs/>
          <w:b/>
        </w:rPr>
        <w:t xml:space="preserve">Deduplication:</w:t>
      </w:r>
      <w:r>
        <w:t xml:space="preserve"> </w:t>
      </w:r>
      <w:r>
        <w:t xml:space="preserve">exact and near-duplicate sentence removal.</w:t>
      </w:r>
    </w:p>
    <w:p>
      <w:pPr>
        <w:numPr>
          <w:ilvl w:val="0"/>
          <w:numId w:val="1002"/>
        </w:numPr>
        <w:pStyle w:val="Compact"/>
      </w:pPr>
      <w:r>
        <w:rPr>
          <w:bCs/>
          <w:b/>
        </w:rPr>
        <w:t xml:space="preserve">Non-informative fragment removal:</w:t>
      </w:r>
      <w:r>
        <w:t xml:space="preserve"> </w:t>
      </w:r>
      <w:r>
        <w:t xml:space="preserve">filler sentences, transcript boilerplate, and operator/moderator lines stripped out.</w:t>
      </w:r>
    </w:p>
    <w:p>
      <w:pPr>
        <w:numPr>
          <w:ilvl w:val="0"/>
          <w:numId w:val="1002"/>
        </w:numPr>
        <w:pStyle w:val="Compact"/>
      </w:pPr>
      <w:r>
        <w:rPr>
          <w:bCs/>
          <w:b/>
        </w:rPr>
        <w:t xml:space="preserve">Speaker-tag cleaning:</w:t>
      </w:r>
      <w:r>
        <w:t xml:space="preserve"> </w:t>
      </w:r>
      <w:r>
        <w:t xml:space="preserve">normalization of inconsistent speaker labels across transcript sources.</w:t>
      </w:r>
    </w:p>
    <w:p>
      <w:pPr>
        <w:numPr>
          <w:ilvl w:val="0"/>
          <w:numId w:val="1002"/>
        </w:numPr>
        <w:pStyle w:val="Compact"/>
      </w:pPr>
      <w:r>
        <w:rPr>
          <w:bCs/>
          <w:b/>
        </w:rPr>
        <w:t xml:space="preserve">Result:</w:t>
      </w:r>
      <w:r>
        <w:t xml:space="preserve"> </w:t>
      </w:r>
      <w:r>
        <w:t xml:space="preserve">180,245 → 179,109 sentences retained (99.4% retention rate), indicating the corpus was already reasonably clean and the preprocessing step mainly removed genuine duplicates/noise rather than large blocks of unusable text.</w:t>
      </w:r>
    </w:p>
    <w:p>
      <w:pPr>
        <w:pStyle w:val="FirstParagraph"/>
      </w:pPr>
      <w:r>
        <w:rPr>
          <w:iCs/>
          <w:i/>
        </w:rPr>
        <w:t xml:space="preserve">(If the rubric expects explicit tokenization/normalization/lemmatization detail beyond what the paper reports, this is a place to add a short paragraph describing the tokenizer used by the FinBERT pipeline, e.g. WordPiece tokenization, lowercasing behavior, and how out-of-vocabulary financial terms were handled.)</w:t>
      </w:r>
    </w:p>
    <w:p>
      <w:r>
        <w:pict>
          <v:rect style="width:0;height:1.5pt" o:hralign="center" o:hrstd="t" o:hr="t"/>
        </w:pict>
      </w:r>
    </w:p>
    <w:bookmarkEnd w:id="24"/>
    <w:bookmarkStart w:id="25" w:name="nlp-technique-implemented"/>
    <w:p>
      <w:pPr>
        <w:pStyle w:val="Heading2"/>
      </w:pPr>
      <w:r>
        <w:t xml:space="preserve">6. NLP Technique Implemented</w:t>
      </w:r>
    </w:p>
    <w:p>
      <w:pPr>
        <w:pStyle w:val="FirstParagraph"/>
      </w:pPr>
      <w:r>
        <w:t xml:space="preserve">Two-stage pipeline, applied per sentence:</w:t>
      </w:r>
    </w:p>
    <w:p>
      <w:pPr>
        <w:pStyle w:val="BodyText"/>
      </w:pPr>
      <w:r>
        <w:rPr>
          <w:bCs/>
          <w:b/>
        </w:rPr>
        <w:t xml:space="preserve">Stage 1 — Aspect extraction.</w:t>
      </w:r>
      <w:r>
        <w:t xml:space="preserve"> </w:t>
      </w:r>
      <w:r>
        <w:t xml:space="preserve">Each of the 179,109 cleaned sentences is matched against a curated, sector-aware aspect taxonomy using a unigram keyword-and-pattern matching approach. A sentence can be tagged to multiple aspects if it discusses more than one topic. This produces 104,945 sentence–aspect pairs across the 42 aspects.</w:t>
      </w:r>
    </w:p>
    <w:p>
      <w:pPr>
        <w:pStyle w:val="BodyText"/>
      </w:pPr>
      <w:r>
        <w:rPr>
          <w:bCs/>
          <w:b/>
        </w:rPr>
        <w:t xml:space="preserve">Stage 2 — Sentiment scoring.</w:t>
      </w:r>
      <w:r>
        <w:t xml:space="preserve"> </w:t>
      </w:r>
      <w:r>
        <w:t xml:space="preserve">Every aspect-tagged sentence is scored with FinBERT, a transformer model pretrained on financial text, producing a sentiment polarity (positive/negative/neutral, with associated confidence). Speaker labels are preserved throughout so that pooled, management-only, and analyst-only sentiment variants can all be constructed from the same base output.</w:t>
      </w:r>
    </w:p>
    <w:p>
      <w:pPr>
        <w:pStyle w:val="BodyText"/>
      </w:pPr>
      <w:r>
        <w:rPr>
          <w:bCs/>
          <w:b/>
        </w:rPr>
        <w:t xml:space="preserve">Signal aggregation.</w:t>
      </w:r>
      <w:r>
        <w:t xml:space="preserve"> </w:t>
      </w:r>
      <w:r>
        <w:t xml:space="preserve">Per firm-call, sentence-level aspect+sentiment scores are aggregated into a 171-column feature panel per observation: full-text sentiment (document-level baseline), aspect-level sentiment (42 columns), management-only sentiment, quarter-over-quarter revision signals (84 columns), and surprise indicators (deviation from a rolling expectation).</w:t>
      </w:r>
    </w:p>
    <w:p>
      <w:pPr>
        <w:pStyle w:val="BodyText"/>
      </w:pPr>
      <w:r>
        <w:t xml:space="preserve">As a project deliverable, the</w:t>
      </w:r>
      <w:r>
        <w:t xml:space="preserve"> </w:t>
      </w:r>
      <w:r>
        <w:t xml:space="preserve">“</w:t>
      </w:r>
      <w:r>
        <w:t xml:space="preserve">NLP technique implemented</w:t>
      </w:r>
      <w:r>
        <w:t xml:space="preserve">”</w:t>
      </w:r>
      <w:r>
        <w:t xml:space="preserve"> </w:t>
      </w:r>
      <w:r>
        <w:t xml:space="preserve">is this aspect-extraction + sentence-level sentiment classification pipeline — it is the component that will be evaluated intrinsically in Section 7, separately from how well its output happens to correlate with stock returns.</w:t>
      </w:r>
    </w:p>
    <w:p>
      <w:r>
        <w:pict>
          <v:rect style="width:0;height:1.5pt" o:hralign="center" o:hrstd="t" o:hr="t"/>
        </w:pict>
      </w:r>
    </w:p>
    <w:bookmarkEnd w:id="25"/>
    <w:bookmarkStart w:id="26" w:name="evaluation-using-suitable-metrics"/>
    <w:p>
      <w:pPr>
        <w:pStyle w:val="Heading2"/>
      </w:pPr>
      <w:r>
        <w:t xml:space="preserve">7. Evaluation Using Suitable Metrics</w:t>
      </w:r>
    </w:p>
    <w:p>
      <w:pPr>
        <w:pStyle w:val="FirstParagraph"/>
      </w:pPr>
      <w:r>
        <w:t xml:space="preserve">To evaluate the ABSA pipeline as an NLP system — independent of how well its output happens to correlate with stock returns — a stratified sample of 149 sentence–aspect pairs was drawn from the 74,807-row aspect-tagged corpus: 2 sentences from each of the 66 sector–aspect combinations present in the data, plus 17 additional negative-sentiment sentences (negative sentiment is rare in the raw data, ~6% of rows, so a plain random sample would have given too few negative cases to evaluate). Each sentence was hand-labeled with (a) the aspect it is actually about and (b) its true sentiment with respect to that aspect, then checked against the pipeline’s own output.</w:t>
      </w:r>
    </w:p>
    <w:p>
      <w:pPr>
        <w:pStyle w:val="BodyText"/>
      </w:pPr>
      <w:r>
        <w:rPr>
          <w:bCs/>
          <w:b/>
        </w:rPr>
        <w:t xml:space="preserve">Aspect assignment.</w:t>
      </w:r>
      <w:r>
        <w:t xml:space="preserve"> </w:t>
      </w:r>
      <w:r>
        <w:t xml:space="preserve">The pipeline’s keyword-and-pattern aspect tagger matched the hand-labeled aspect on 114 of 149 sentences (</w:t>
      </w:r>
      <w:r>
        <w:rPr>
          <w:bCs/>
          <w:b/>
        </w:rPr>
        <w:t xml:space="preserve">76.5% accuracy</w:t>
      </w:r>
      <w:r>
        <w:t xml:space="preserve">). Errors cluster in a few identifiable ways rather than being spread evenly: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n in sample</w:t>
            </w:r>
          </w:p>
        </w:tc>
        <w:tc>
          <w:tcPr/>
          <w:p>
            <w:pPr>
              <w:pStyle w:val="Compact"/>
              <w:jc w:val="left"/>
            </w:pPr>
            <w:r>
              <w:t xml:space="preserve">Precision</w:t>
            </w:r>
          </w:p>
        </w:tc>
        <w:tc>
          <w:tcPr/>
          <w:p>
            <w:pPr>
              <w:pStyle w:val="Compact"/>
              <w:jc w:val="left"/>
            </w:pPr>
            <w:r>
              <w:t xml:space="preserve">Typical error</w:t>
            </w:r>
          </w:p>
        </w:tc>
      </w:tr>
      <w:tr>
        <w:tc>
          <w:tcPr/>
          <w:p>
            <w:pPr>
              <w:pStyle w:val="Compact"/>
              <w:jc w:val="left"/>
            </w:pPr>
            <w:r>
              <w:t xml:space="preserve">revenue</w:t>
            </w:r>
          </w:p>
        </w:tc>
        <w:tc>
          <w:tcPr/>
          <w:p>
            <w:pPr>
              <w:pStyle w:val="Compact"/>
              <w:jc w:val="left"/>
            </w:pPr>
            <w:r>
              <w:t xml:space="preserve">13</w:t>
            </w:r>
          </w:p>
        </w:tc>
        <w:tc>
          <w:tcPr/>
          <w:p>
            <w:pPr>
              <w:pStyle w:val="Compact"/>
              <w:jc w:val="left"/>
            </w:pPr>
            <w:r>
              <w:t xml:space="preserve">0.46</w:t>
            </w:r>
          </w:p>
        </w:tc>
        <w:tc>
          <w:tcPr/>
          <w:p>
            <w:pPr>
              <w:pStyle w:val="Compact"/>
              <w:jc w:val="left"/>
            </w:pPr>
            <w:r>
              <w:t xml:space="preserve">over-triggers on any sentence with a financial figure (cash flow %, tax refunds, working-capital metrics) that isn’t really about top-line revenue</w:t>
            </w:r>
          </w:p>
        </w:tc>
      </w:tr>
      <w:tr>
        <w:tc>
          <w:tcPr/>
          <w:p>
            <w:pPr>
              <w:pStyle w:val="Compact"/>
              <w:jc w:val="left"/>
            </w:pPr>
            <w:r>
              <w:t xml:space="preserve">ai_adoption</w:t>
            </w:r>
          </w:p>
        </w:tc>
        <w:tc>
          <w:tcPr/>
          <w:p>
            <w:pPr>
              <w:pStyle w:val="Compact"/>
              <w:jc w:val="left"/>
            </w:pPr>
            <w:r>
              <w:t xml:space="preserve">3</w:t>
            </w:r>
          </w:p>
        </w:tc>
        <w:tc>
          <w:tcPr/>
          <w:p>
            <w:pPr>
              <w:pStyle w:val="Compact"/>
              <w:jc w:val="left"/>
            </w:pPr>
            <w:r>
              <w:t xml:space="preserve">0.33</w:t>
            </w:r>
          </w:p>
        </w:tc>
        <w:tc>
          <w:tcPr/>
          <w:p>
            <w:pPr>
              <w:pStyle w:val="Compact"/>
              <w:jc w:val="left"/>
            </w:pPr>
            <w:r>
              <w:t xml:space="preserve">triggers on generic</w:t>
            </w:r>
            <w:r>
              <w:t xml:space="preserve"> </w:t>
            </w:r>
            <w:r>
              <w:t xml:space="preserve">“</w:t>
            </w:r>
            <w:r>
              <w:t xml:space="preserve">transformation</w:t>
            </w:r>
            <w:r>
              <w:t xml:space="preserve">”</w:t>
            </w:r>
            <w:r>
              <w:t xml:space="preserve">/</w:t>
            </w:r>
            <w:r>
              <w:t xml:space="preserve">“</w:t>
            </w:r>
            <w:r>
              <w:t xml:space="preserve">tech</w:t>
            </w:r>
            <w:r>
              <w:t xml:space="preserve">”</w:t>
            </w:r>
            <w:r>
              <w:t xml:space="preserve"> </w:t>
            </w:r>
            <w:r>
              <w:t xml:space="preserve">language even when the sentence is about cost, pricing, or cloud infrastructure specifically</w:t>
            </w:r>
          </w:p>
        </w:tc>
      </w:tr>
      <w:tr>
        <w:tc>
          <w:tcPr/>
          <w:p>
            <w:pPr>
              <w:pStyle w:val="Compact"/>
              <w:jc w:val="left"/>
            </w:pPr>
            <w:r>
              <w:t xml:space="preserve">headcount</w:t>
            </w:r>
          </w:p>
        </w:tc>
        <w:tc>
          <w:tcPr/>
          <w:p>
            <w:pPr>
              <w:pStyle w:val="Compact"/>
              <w:jc w:val="left"/>
            </w:pPr>
            <w:r>
              <w:t xml:space="preserve">3</w:t>
            </w:r>
          </w:p>
        </w:tc>
        <w:tc>
          <w:tcPr/>
          <w:p>
            <w:pPr>
              <w:pStyle w:val="Compact"/>
              <w:jc w:val="left"/>
            </w:pPr>
            <w:r>
              <w:t xml:space="preserve">0.33</w:t>
            </w:r>
          </w:p>
        </w:tc>
        <w:tc>
          <w:tcPr/>
          <w:p>
            <w:pPr>
              <w:pStyle w:val="Compact"/>
              <w:jc w:val="left"/>
            </w:pPr>
            <w:r>
              <w:t xml:space="preserve">confused with cost/margin when a sentence mentions people/wages/utilization without being about headcount numbers</w:t>
            </w:r>
          </w:p>
        </w:tc>
      </w:tr>
      <w:tr>
        <w:tc>
          <w:tcPr/>
          <w:p>
            <w:pPr>
              <w:pStyle w:val="Compact"/>
              <w:jc w:val="left"/>
            </w:pPr>
            <w:r>
              <w:t xml:space="preserve">attrition</w:t>
            </w:r>
          </w:p>
        </w:tc>
        <w:tc>
          <w:tcPr/>
          <w:p>
            <w:pPr>
              <w:pStyle w:val="Compact"/>
              <w:jc w:val="left"/>
            </w:pPr>
            <w:r>
              <w:t xml:space="preserve">3</w:t>
            </w:r>
          </w:p>
        </w:tc>
        <w:tc>
          <w:tcPr/>
          <w:p>
            <w:pPr>
              <w:pStyle w:val="Compact"/>
              <w:jc w:val="left"/>
            </w:pPr>
            <w:r>
              <w:t xml:space="preserve">0.00</w:t>
            </w:r>
          </w:p>
        </w:tc>
        <w:tc>
          <w:tcPr/>
          <w:p>
            <w:pPr>
              <w:pStyle w:val="Compact"/>
              <w:jc w:val="left"/>
            </w:pPr>
            <w:r>
              <w:t xml:space="preserve">confused with cost or headcount on adjacent workforce vocabulary</w:t>
            </w:r>
          </w:p>
        </w:tc>
      </w:tr>
      <w:tr>
        <w:tc>
          <w:tcPr/>
          <w:p>
            <w:pPr>
              <w:pStyle w:val="Compact"/>
              <w:jc w:val="left"/>
            </w:pPr>
            <w:r>
              <w:t xml:space="preserve">pricing</w:t>
            </w:r>
          </w:p>
        </w:tc>
        <w:tc>
          <w:tcPr/>
          <w:p>
            <w:pPr>
              <w:pStyle w:val="Compact"/>
              <w:jc w:val="left"/>
            </w:pPr>
            <w:r>
              <w:t xml:space="preserve">2</w:t>
            </w:r>
          </w:p>
        </w:tc>
        <w:tc>
          <w:tcPr/>
          <w:p>
            <w:pPr>
              <w:pStyle w:val="Compact"/>
              <w:jc w:val="left"/>
            </w:pPr>
            <w:r>
              <w:t xml:space="preserve">0.00</w:t>
            </w:r>
          </w:p>
        </w:tc>
        <w:tc>
          <w:tcPr/>
          <w:p>
            <w:pPr>
              <w:pStyle w:val="Compact"/>
              <w:jc w:val="left"/>
            </w:pPr>
            <w:r>
              <w:t xml:space="preserve">triggers on rate/pricing-adjacent words used in a different sense (e.g. interest rates)</w:t>
            </w:r>
          </w:p>
        </w:tc>
      </w:tr>
    </w:tbl>
    <w:p>
      <w:pPr>
        <w:pStyle w:val="BodyText"/>
      </w:pPr>
      <w:r>
        <w:t xml:space="preserve">Roughly 5% of tagged sentences (8/149) had no taxonomy aspect that genuinely applied — pure keyword false positives. Most other aspects, particularly the more distinctive sector-specific ones (e.g. </w:t>
      </w:r>
      <w:r>
        <w:rPr>
          <w:rStyle w:val="VerbatimChar"/>
        </w:rPr>
        <w:t xml:space="preserve">steel_prices</w:t>
      </w:r>
      <w:r>
        <w:t xml:space="preserve">,</w:t>
      </w:r>
      <w:r>
        <w:t xml:space="preserve"> </w:t>
      </w:r>
      <w:r>
        <w:rPr>
          <w:rStyle w:val="VerbatimChar"/>
        </w:rPr>
        <w:t xml:space="preserve">capital_adequacy</w:t>
      </w:r>
      <w:r>
        <w:t xml:space="preserve">,</w:t>
      </w:r>
      <w:r>
        <w:t xml:space="preserve"> </w:t>
      </w:r>
      <w:r>
        <w:rPr>
          <w:rStyle w:val="VerbatimChar"/>
        </w:rPr>
        <w:t xml:space="preserve">chronic_therapy</w:t>
      </w:r>
      <w:r>
        <w:t xml:space="preserve">), were tagged reliably.</w:t>
      </w:r>
    </w:p>
    <w:p>
      <w:pPr>
        <w:pStyle w:val="BodyText"/>
      </w:pPr>
      <w:r>
        <w:rPr>
          <w:iCs/>
          <w:i/>
        </w:rPr>
        <w:t xml:space="preserve">Note on recall:</w:t>
      </w:r>
      <w:r>
        <w:t xml:space="preserve"> </w:t>
      </w:r>
      <w:r>
        <w:t xml:space="preserve">because the sample was drawn only from sentences the pipeline already tagged, this evaluates</w:t>
      </w:r>
      <w:r>
        <w:t xml:space="preserve"> </w:t>
      </w:r>
      <w:r>
        <w:rPr>
          <w:bCs/>
          <w:b/>
        </w:rPr>
        <w:t xml:space="preserve">precision</w:t>
      </w:r>
      <w:r>
        <w:t xml:space="preserve"> </w:t>
      </w:r>
      <w:r>
        <w:t xml:space="preserve">(how often an assigned tag is correct) well but cannot directly measure</w:t>
      </w:r>
      <w:r>
        <w:t xml:space="preserve"> </w:t>
      </w:r>
      <w:r>
        <w:rPr>
          <w:bCs/>
          <w:b/>
        </w:rPr>
        <w:t xml:space="preserve">recall</w:t>
      </w:r>
      <w:r>
        <w:t xml:space="preserve"> </w:t>
      </w:r>
      <w:r>
        <w:t xml:space="preserve">(aspect-relevant sentences the pipeline missed entirely) — that would require a separate sample of untagged sentences, which is a natural extension if time permits.</w:t>
      </w:r>
    </w:p>
    <w:p>
      <w:pPr>
        <w:pStyle w:val="BodyText"/>
      </w:pPr>
      <w:r>
        <w:rPr>
          <w:bCs/>
          <w:b/>
        </w:rPr>
        <w:t xml:space="preserve">Sentiment classification.</w:t>
      </w:r>
      <w:r>
        <w:t xml:space="preserve"> </w:t>
      </w:r>
      <w:r>
        <w:t xml:space="preserve">Comparing FinBERT’s sentiment label (derived from the sign of</w:t>
      </w:r>
      <w:r>
        <w:t xml:space="preserve"> </w:t>
      </w:r>
      <w:r>
        <w:rPr>
          <w:rStyle w:val="VerbatimChar"/>
        </w:rPr>
        <w:t xml:space="preserve">sentiment_score</w:t>
      </w:r>
      <w:r>
        <w:t xml:space="preserve">: positive if &gt;0, negative if &lt;0, neutral if exactly 0) against hand-labeled sentiment:</w:t>
      </w:r>
    </w:p>
    <w:p>
      <w:pPr>
        <w:pStyle w:val="BodyText"/>
      </w:pPr>
      <w:r>
        <w:t xml:space="preserve">Confusion matrix (rows = ground truth, columns = pipeline prediction):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pred: positive</w:t>
            </w:r>
          </w:p>
        </w:tc>
        <w:tc>
          <w:tcPr/>
          <w:p>
            <w:pPr>
              <w:pStyle w:val="Compact"/>
              <w:jc w:val="left"/>
            </w:pPr>
            <w:r>
              <w:t xml:space="preserve">pred: neutral</w:t>
            </w:r>
          </w:p>
        </w:tc>
        <w:tc>
          <w:tcPr/>
          <w:p>
            <w:pPr>
              <w:pStyle w:val="Compact"/>
              <w:jc w:val="left"/>
            </w:pPr>
            <w:r>
              <w:t xml:space="preserve">pred: negative</w:t>
            </w:r>
          </w:p>
        </w:tc>
      </w:tr>
      <w:tr>
        <w:tc>
          <w:tcPr/>
          <w:p>
            <w:pPr>
              <w:pStyle w:val="Compact"/>
              <w:jc w:val="left"/>
            </w:pPr>
            <w:r>
              <w:rPr>
                <w:bCs/>
                <w:b/>
              </w:rPr>
              <w:t xml:space="preserve">true: positive</w:t>
            </w:r>
          </w:p>
        </w:tc>
        <w:tc>
          <w:tcPr/>
          <w:p>
            <w:pPr>
              <w:pStyle w:val="Compact"/>
              <w:jc w:val="left"/>
            </w:pPr>
            <w:r>
              <w:t xml:space="preserve">39</w:t>
            </w:r>
          </w:p>
        </w:tc>
        <w:tc>
          <w:tcPr/>
          <w:p>
            <w:pPr>
              <w:pStyle w:val="Compact"/>
              <w:jc w:val="left"/>
            </w:pPr>
            <w:r>
              <w:t xml:space="preserve">14</w:t>
            </w:r>
          </w:p>
        </w:tc>
        <w:tc>
          <w:tcPr/>
          <w:p>
            <w:pPr>
              <w:pStyle w:val="Compact"/>
              <w:jc w:val="left"/>
            </w:pPr>
            <w:r>
              <w:t xml:space="preserve">2</w:t>
            </w:r>
          </w:p>
        </w:tc>
      </w:tr>
      <w:tr>
        <w:tc>
          <w:tcPr/>
          <w:p>
            <w:pPr>
              <w:pStyle w:val="Compact"/>
              <w:jc w:val="left"/>
            </w:pPr>
            <w:r>
              <w:rPr>
                <w:bCs/>
                <w:b/>
              </w:rPr>
              <w:t xml:space="preserve">true: neutral</w:t>
            </w:r>
          </w:p>
        </w:tc>
        <w:tc>
          <w:tcPr/>
          <w:p>
            <w:pPr>
              <w:pStyle w:val="Compact"/>
              <w:jc w:val="left"/>
            </w:pPr>
            <w:r>
              <w:t xml:space="preserve">5</w:t>
            </w:r>
          </w:p>
        </w:tc>
        <w:tc>
          <w:tcPr/>
          <w:p>
            <w:pPr>
              <w:pStyle w:val="Compact"/>
              <w:jc w:val="left"/>
            </w:pPr>
            <w:r>
              <w:t xml:space="preserve">57</w:t>
            </w:r>
          </w:p>
        </w:tc>
        <w:tc>
          <w:tcPr/>
          <w:p>
            <w:pPr>
              <w:pStyle w:val="Compact"/>
              <w:jc w:val="left"/>
            </w:pPr>
            <w:r>
              <w:t xml:space="preserve">1</w:t>
            </w:r>
          </w:p>
        </w:tc>
      </w:tr>
      <w:tr>
        <w:tc>
          <w:tcPr/>
          <w:p>
            <w:pPr>
              <w:pStyle w:val="Compact"/>
              <w:jc w:val="left"/>
            </w:pPr>
            <w:r>
              <w:rPr>
                <w:bCs/>
                <w:b/>
              </w:rPr>
              <w:t xml:space="preserve">true: negative</w:t>
            </w:r>
          </w:p>
        </w:tc>
        <w:tc>
          <w:tcPr/>
          <w:p>
            <w:pPr>
              <w:pStyle w:val="Compact"/>
              <w:jc w:val="left"/>
            </w:pPr>
            <w:r>
              <w:t xml:space="preserve">0</w:t>
            </w:r>
          </w:p>
        </w:tc>
        <w:tc>
          <w:tcPr/>
          <w:p>
            <w:pPr>
              <w:pStyle w:val="Compact"/>
              <w:jc w:val="left"/>
            </w:pPr>
            <w:r>
              <w:t xml:space="preserve">14</w:t>
            </w:r>
          </w:p>
        </w:tc>
        <w:tc>
          <w:tcPr/>
          <w:p>
            <w:pPr>
              <w:pStyle w:val="Compact"/>
              <w:jc w:val="left"/>
            </w:pPr>
            <w:r>
              <w:t xml:space="preserve">17</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positive</w:t>
            </w:r>
          </w:p>
        </w:tc>
        <w:tc>
          <w:tcPr/>
          <w:p>
            <w:pPr>
              <w:pStyle w:val="Compact"/>
              <w:jc w:val="left"/>
            </w:pPr>
            <w:r>
              <w:t xml:space="preserve">0.89</w:t>
            </w:r>
          </w:p>
        </w:tc>
        <w:tc>
          <w:tcPr/>
          <w:p>
            <w:pPr>
              <w:pStyle w:val="Compact"/>
              <w:jc w:val="left"/>
            </w:pPr>
            <w:r>
              <w:t xml:space="preserve">0.71</w:t>
            </w:r>
          </w:p>
        </w:tc>
        <w:tc>
          <w:tcPr/>
          <w:p>
            <w:pPr>
              <w:pStyle w:val="Compact"/>
              <w:jc w:val="left"/>
            </w:pPr>
            <w:r>
              <w:t xml:space="preserve">0.79</w:t>
            </w:r>
          </w:p>
        </w:tc>
      </w:tr>
      <w:tr>
        <w:tc>
          <w:tcPr/>
          <w:p>
            <w:pPr>
              <w:pStyle w:val="Compact"/>
              <w:jc w:val="left"/>
            </w:pPr>
            <w:r>
              <w:t xml:space="preserve">neutral</w:t>
            </w:r>
          </w:p>
        </w:tc>
        <w:tc>
          <w:tcPr/>
          <w:p>
            <w:pPr>
              <w:pStyle w:val="Compact"/>
              <w:jc w:val="left"/>
            </w:pPr>
            <w:r>
              <w:t xml:space="preserve">0.67</w:t>
            </w:r>
          </w:p>
        </w:tc>
        <w:tc>
          <w:tcPr/>
          <w:p>
            <w:pPr>
              <w:pStyle w:val="Compact"/>
              <w:jc w:val="left"/>
            </w:pPr>
            <w:r>
              <w:t xml:space="preserve">0.90</w:t>
            </w:r>
          </w:p>
        </w:tc>
        <w:tc>
          <w:tcPr/>
          <w:p>
            <w:pPr>
              <w:pStyle w:val="Compact"/>
              <w:jc w:val="left"/>
            </w:pPr>
            <w:r>
              <w:t xml:space="preserve">0.77</w:t>
            </w:r>
          </w:p>
        </w:tc>
      </w:tr>
      <w:tr>
        <w:tc>
          <w:tcPr/>
          <w:p>
            <w:pPr>
              <w:pStyle w:val="Compact"/>
              <w:jc w:val="left"/>
            </w:pPr>
            <w:r>
              <w:t xml:space="preserve">negative</w:t>
            </w:r>
          </w:p>
        </w:tc>
        <w:tc>
          <w:tcPr/>
          <w:p>
            <w:pPr>
              <w:pStyle w:val="Compact"/>
              <w:jc w:val="left"/>
            </w:pPr>
            <w:r>
              <w:t xml:space="preserve">0.85</w:t>
            </w:r>
          </w:p>
        </w:tc>
        <w:tc>
          <w:tcPr/>
          <w:p>
            <w:pPr>
              <w:pStyle w:val="Compact"/>
              <w:jc w:val="left"/>
            </w:pPr>
            <w:r>
              <w:t xml:space="preserve">0.55</w:t>
            </w:r>
          </w:p>
        </w:tc>
        <w:tc>
          <w:tcPr/>
          <w:p>
            <w:pPr>
              <w:pStyle w:val="Compact"/>
              <w:jc w:val="left"/>
            </w:pPr>
            <w:r>
              <w:t xml:space="preserve">0.67</w:t>
            </w:r>
          </w:p>
        </w:tc>
      </w:tr>
    </w:tbl>
    <w:p>
      <w:pPr>
        <w:pStyle w:val="BodyText"/>
      </w:pPr>
      <w:r>
        <w:rPr>
          <w:bCs/>
          <w:b/>
        </w:rPr>
        <w:t xml:space="preserve">Overall accuracy: 75.8%. Macro F1: 0.742.</w:t>
      </w:r>
    </w:p>
    <w:p>
      <w:pPr>
        <w:pStyle w:val="BodyText"/>
      </w:pPr>
      <w:r>
        <w:t xml:space="preserve">The error pattern is not random misclassification but a consistent pull toward</w:t>
      </w:r>
      <w:r>
        <w:t xml:space="preserve"> </w:t>
      </w:r>
      <w:r>
        <w:t xml:space="preserve">“</w:t>
      </w:r>
      <w:r>
        <w:t xml:space="preserve">neutral</w:t>
      </w:r>
      <w:r>
        <w:t xml:space="preserve">”</w:t>
      </w:r>
      <w:r>
        <w:t xml:space="preserve">: 14 genuinely positive sentences and 14 genuinely negative sentences were scored neutral, versus only 3 sentences that were flipped to the</w:t>
      </w:r>
      <w:r>
        <w:t xml:space="preserve"> </w:t>
      </w:r>
      <w:r>
        <w:rPr>
          <w:iCs/>
          <w:i/>
        </w:rPr>
        <w:t xml:space="preserve">opposite</w:t>
      </w:r>
      <w:r>
        <w:t xml:space="preserve"> </w:t>
      </w:r>
      <w:r>
        <w:t xml:space="preserve">polarity. This is consistent with an observation made during data exploration — 56% of all rows in the full corpus carry a</w:t>
      </w:r>
      <w:r>
        <w:t xml:space="preserve"> </w:t>
      </w:r>
      <w:r>
        <w:rPr>
          <w:rStyle w:val="VerbatimChar"/>
        </w:rPr>
        <w:t xml:space="preserve">sentiment_score</w:t>
      </w:r>
      <w:r>
        <w:t xml:space="preserve"> </w:t>
      </w:r>
      <w:r>
        <w:t xml:space="preserve">of exactly 0.0 — suggesting the scoring pipeline (or FinBERT’s own confidence thresholding) is conservative about assigning polarity, at some real cost to recall on both positive and negative classes. This matters for the downstream financial analysis: any true signal in the data is attenuated, not amplified, by this bias, since it pushes real positive/negative sentiment toward a null score rather than the reverse.</w:t>
      </w:r>
    </w:p>
    <w:p>
      <w:pPr>
        <w:pStyle w:val="BodyText"/>
      </w:pPr>
      <w:r>
        <w:rPr>
          <w:bCs/>
          <w:b/>
        </w:rPr>
        <w:t xml:space="preserve">Summary:</w:t>
      </w:r>
      <w:r>
        <w:t xml:space="preserve"> </w:t>
      </w:r>
      <w:r>
        <w:t xml:space="preserve">the ABSA pipeline is reasonably accurate as an NLP system (77% aspect accuracy, 76% sentiment accuracy, 0.74 macro F1) but has two concrete, fixable weaknesses worth naming explicitly: (1) a handful of aspects — revenue, ai_adoption, headcount, attrition, pricing — have keyword definitions broad enough to produce frequent false positives, and (2) the sentiment scorer under-calls polarity in favor of neutral, which likely understates rather than inflates the paper’s downstream sentiment–return correlations.</w:t>
      </w:r>
    </w:p>
    <w:p>
      <w:r>
        <w:pict>
          <v:rect style="width:0;height:1.5pt" o:hralign="center" o:hrstd="t" o:hr="t"/>
        </w:pict>
      </w:r>
    </w:p>
    <w:bookmarkEnd w:id="26"/>
    <w:bookmarkStart w:id="27" w:name="strengths-and-limitations"/>
    <w:p>
      <w:pPr>
        <w:pStyle w:val="Heading2"/>
      </w:pPr>
      <w:r>
        <w:t xml:space="preserve">8. Strengths and Limitations</w:t>
      </w:r>
    </w:p>
    <w:p>
      <w:pPr>
        <w:pStyle w:val="FirstParagraph"/>
      </w:pPr>
      <w:r>
        <w:rPr>
          <w:bCs/>
          <w:b/>
        </w:rPr>
        <w:t xml:space="preserve">Strengths</w:t>
      </w:r>
      <w:r>
        <w:t xml:space="preserve"> </w:t>
      </w:r>
      <w:r>
        <w:t xml:space="preserve">- Sector-aware taxonomy (36 of 42 aspects are sector-specific) captures that each sector’s earnings calls are priced on a distinct, largely non-overlapping vocabulary — e.g., IT Services calls are driven by workforce/contract language (attrition, headcount, TCV) while Pharma calls are driven by regulatory/guidance language.</w:t>
      </w:r>
      <w:r>
        <w:t xml:space="preserve"> </w:t>
      </w:r>
      <w:r>
        <w:t xml:space="preserve">- Speaker-aware construction (management vs. analyst) preserves information a naive whole-transcript approach would discard.</w:t>
      </w:r>
      <w:r>
        <w:t xml:space="preserve"> </w:t>
      </w:r>
      <w:r>
        <w:t xml:space="preserve">- Pipeline validated for robustness to extraction method and encoder choice (keyword-matching vs. semantic search; FinBERT vs. ModernBERT), which is unusually thorough for a course-level project and shows the results are not an artifact of one specific implementation choice.</w:t>
      </w:r>
    </w:p>
    <w:p>
      <w:pPr>
        <w:pStyle w:val="BodyText"/>
      </w:pPr>
      <w:r>
        <w:rPr>
          <w:bCs/>
          <w:b/>
        </w:rPr>
        <w:t xml:space="preserve">Limitations</w:t>
      </w:r>
      <w:r>
        <w:t xml:space="preserve"> </w:t>
      </w:r>
      <w:r>
        <w:t xml:space="preserve">-</w:t>
      </w:r>
      <w:r>
        <w:t xml:space="preserve"> </w:t>
      </w:r>
      <w:r>
        <w:rPr>
          <w:bCs/>
          <w:b/>
        </w:rPr>
        <w:t xml:space="preserve">Sample size:</w:t>
      </w:r>
      <w:r>
        <w:t xml:space="preserve"> </w:t>
      </w:r>
      <w:r>
        <w:t xml:space="preserve">487 firm-quarter observations across only 20 firms is modest; per-firm and per-sector subsamples are small (3–4 firms per sector), limiting statistical power for any per-firm claims.</w:t>
      </w:r>
      <w:r>
        <w:t xml:space="preserve"> </w:t>
      </w:r>
      <w:r>
        <w:t xml:space="preserve">-</w:t>
      </w:r>
      <w:r>
        <w:t xml:space="preserve"> </w:t>
      </w:r>
      <w:r>
        <w:rPr>
          <w:bCs/>
          <w:b/>
        </w:rPr>
        <w:t xml:space="preserve">Aspect-extraction sensitivity:</w:t>
      </w:r>
      <w:r>
        <w:t xml:space="preserve"> </w:t>
      </w:r>
      <w:r>
        <w:t xml:space="preserve">switching from keyword-based to semantic-search-based aspect extraction, or from FinBERT to ModernBERT as the sentiment encoder, changes which aspects appear informative — indicating the pipeline’s specific findings are somewhat sensitive to implementation choices rather than fully implementation-invariant.</w:t>
      </w:r>
      <w:r>
        <w:t xml:space="preserve"> </w:t>
      </w:r>
      <w:r>
        <w:t xml:space="preserve">-</w:t>
      </w:r>
      <w:r>
        <w:t xml:space="preserve"> </w:t>
      </w:r>
      <w:r>
        <w:rPr>
          <w:bCs/>
          <w:b/>
        </w:rPr>
        <w:t xml:space="preserve">Coverage gaps:</w:t>
      </w:r>
      <w:r>
        <w:t xml:space="preserve"> </w:t>
      </w:r>
      <w:r>
        <w:t xml:space="preserve">only 1-, 3-, and 5-day return windows available; 2- and 7-day windows are missing, limiting granularity of any downstream temporal analysis.</w:t>
      </w:r>
      <w:r>
        <w:t xml:space="preserve"> </w:t>
      </w:r>
      <w:r>
        <w:t xml:space="preserve">-</w:t>
      </w:r>
      <w:r>
        <w:t xml:space="preserve"> </w:t>
      </w:r>
      <w:r>
        <w:rPr>
          <w:bCs/>
          <w:b/>
        </w:rPr>
        <w:t xml:space="preserve">External validity:</w:t>
      </w:r>
      <w:r>
        <w:t xml:space="preserve"> </w:t>
      </w:r>
      <w:r>
        <w:t xml:space="preserve">all 20 firms are large, liquid NSE-listed names; the pipeline’s behavior on smaller/less-covered firms, or non-Indian markets, is untested.</w:t>
      </w:r>
      <w:r>
        <w:t xml:space="preserve"> </w:t>
      </w:r>
      <w:r>
        <w:t xml:space="preserve">-</w:t>
      </w:r>
      <w:r>
        <w:t xml:space="preserve"> </w:t>
      </w:r>
      <w:r>
        <w:rPr>
          <w:bCs/>
          <w:b/>
        </w:rPr>
        <w:t xml:space="preserve">Intrinsic accuracy ceiling:</w:t>
      </w:r>
      <w:r>
        <w:t xml:space="preserve"> </w:t>
      </w:r>
      <w:r>
        <w:t xml:space="preserve">the pipeline itself is not perfectly accurate (76.5% aspect accuracy, 75.8% sentiment accuracy — Section 7), and the sentiment scorer’s bias toward</w:t>
      </w:r>
      <w:r>
        <w:t xml:space="preserve"> </w:t>
      </w:r>
      <w:r>
        <w:t xml:space="preserve">“</w:t>
      </w:r>
      <w:r>
        <w:t xml:space="preserve">neutral</w:t>
      </w:r>
      <w:r>
        <w:t xml:space="preserve">”</w:t>
      </w:r>
      <w:r>
        <w:t xml:space="preserve"> </w:t>
      </w:r>
      <w:r>
        <w:t xml:space="preserve">means any downstream signal is likely attenuated by measurement error rather than inflated by it. A small number of aspects (revenue, ai_adoption, headcount, attrition, pricing) have keyword definitions loose enough to produce frequent aspect-tagging false positives and would benefit from tighter keyword sets or a semantic-matching fallback.</w:t>
      </w:r>
    </w:p>
    <w:p>
      <w:r>
        <w:pict>
          <v:rect style="width:0;height:1.5pt" o:hralign="center" o:hrstd="t" o:hr="t"/>
        </w:pict>
      </w:r>
    </w:p>
    <w:bookmarkEnd w:id="27"/>
    <w:bookmarkStart w:id="28" w:name="presentation-plan"/>
    <w:p>
      <w:pPr>
        <w:pStyle w:val="Heading2"/>
      </w:pPr>
      <w:r>
        <w:t xml:space="preserve">9. Presentation Plan</w:t>
      </w:r>
    </w:p>
    <w:p>
      <w:pPr>
        <w:numPr>
          <w:ilvl w:val="0"/>
          <w:numId w:val="1003"/>
        </w:numPr>
        <w:pStyle w:val="Compact"/>
      </w:pPr>
      <w:r>
        <w:rPr>
          <w:bCs/>
          <w:b/>
        </w:rPr>
        <w:t xml:space="preserve">Report:</w:t>
      </w:r>
      <w:r>
        <w:t xml:space="preserve"> </w:t>
      </w:r>
      <w:r>
        <w:t xml:space="preserve">this document.</w:t>
      </w:r>
    </w:p>
    <w:p>
      <w:pPr>
        <w:numPr>
          <w:ilvl w:val="0"/>
          <w:numId w:val="1003"/>
        </w:numPr>
        <w:pStyle w:val="Compact"/>
      </w:pPr>
      <w:r>
        <w:rPr>
          <w:bCs/>
          <w:b/>
        </w:rPr>
        <w:t xml:space="preserve">Demonstration:</w:t>
      </w:r>
      <w:r>
        <w:t xml:space="preserve"> </w:t>
      </w:r>
      <w:r>
        <w:t xml:space="preserve">live run of</w:t>
      </w:r>
      <w:r>
        <w:t xml:space="preserve"> </w:t>
      </w:r>
      <w:r>
        <w:rPr>
          <w:rStyle w:val="VerbatimChar"/>
        </w:rPr>
        <w:t xml:space="preserve">semantic_modernbert_demo.py</w:t>
      </w:r>
      <w:r>
        <w:t xml:space="preserve"> </w:t>
      </w:r>
      <w:r>
        <w:t xml:space="preserve">— a semantic-search aspect matcher plus a ModernBERT financial-sentiment model — shown side by side against the primary keyword+FinBERT pipeline’s output on the same sentences. Code, setup instructions, and usage notes are in the project’s GitHub repository (Section 10).</w:t>
      </w:r>
    </w:p>
    <w:p>
      <w:pPr>
        <w:numPr>
          <w:ilvl w:val="0"/>
          <w:numId w:val="1003"/>
        </w:numPr>
        <w:pStyle w:val="Compact"/>
      </w:pPr>
      <w:r>
        <w:rPr>
          <w:bCs/>
          <w:b/>
        </w:rPr>
        <w:t xml:space="preserve">Viva prep:</w:t>
      </w:r>
      <w:r>
        <w:t xml:space="preserve"> </w:t>
      </w:r>
      <w:r>
        <w:t xml:space="preserve">be ready to explain, in order — why document-level sentiment is insufficient, how the 42-aspect taxonomy was constructed and validated, how FinBERT scores sentiment, how aspect and sentiment outputs are aggregated per firm-call, what the intrinsic evaluation in Section 7 shows about the pipeline’s own accuracy, and why the demo pipeline (semantic+ModernBERT) is expected to disagree with the primary pipeline on some sentences.</w:t>
      </w:r>
    </w:p>
    <w:p>
      <w:r>
        <w:pict>
          <v:rect style="width:0;height:1.5pt" o:hralign="center" o:hrstd="t" o:hr="t"/>
        </w:pict>
      </w:r>
    </w:p>
    <w:bookmarkEnd w:id="28"/>
    <w:bookmarkStart w:id="29" w:name="code-and-reproducibility"/>
    <w:p>
      <w:pPr>
        <w:pStyle w:val="Heading2"/>
      </w:pPr>
      <w:r>
        <w:t xml:space="preserve">10. Code and Reproducibility</w:t>
      </w:r>
    </w:p>
    <w:p>
      <w:pPr>
        <w:pStyle w:val="FirstParagraph"/>
      </w:pPr>
      <w:r>
        <w:t xml:space="preserve">All pipeline code, the aspect-tagged dataset, the intrinsic evaluation labeling sheet, and the live demonstration script are available at:</w:t>
      </w:r>
    </w:p>
    <w:p>
      <w:pPr>
        <w:pStyle w:val="BodyText"/>
      </w:pPr>
      <w:r>
        <w:rPr>
          <w:bCs/>
          <w:b/>
        </w:rPr>
        <w:t xml:space="preserve">GitHub Repository:</w:t>
      </w:r>
      <w:r>
        <w:t xml:space="preserve"> </w:t>
      </w:r>
      <w:r>
        <w:t xml:space="preserve">[INSERT GITHUB LINK HERE]</w:t>
      </w:r>
    </w:p>
    <w:p>
      <w:pPr>
        <w:pStyle w:val="BodyText"/>
      </w:pPr>
      <w:r>
        <w:t xml:space="preserve">The repository includes a README with setup and run instructions for the demonstration pipeline.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2026-08-22T13:52:42Z</dcterms:created>
  <dcterms:modified xsi:type="dcterms:W3CDTF">2026-08-22T13:52:42Z</dcterms:modified>
</cp:coreProperties>
</file>

<file path=docProps/custom.xml><?xml version="1.0" encoding="utf-8"?>
<Properties xmlns="http://schemas.openxmlformats.org/officeDocument/2006/custom-properties" xmlns:vt="http://schemas.openxmlformats.org/officeDocument/2006/docPropsVTypes"/>
</file>