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B1" w:rsidRDefault="00690DB1" w:rsidP="00690DB1">
      <w:pPr>
        <w:pStyle w:val="Titolo1"/>
        <w:rPr>
          <w:lang w:val="en-US"/>
        </w:rPr>
      </w:pPr>
      <w:r>
        <w:rPr>
          <w:lang w:val="en-US"/>
        </w:rPr>
        <w:t>Stop Killing Digital Freedom Full</w:t>
      </w:r>
    </w:p>
    <w:p w:rsidR="00690DB1" w:rsidRPr="000D63F6" w:rsidRDefault="00690DB1" w:rsidP="00690DB1">
      <w:pPr>
        <w:pStyle w:val="NormaleWeb"/>
        <w:rPr>
          <w:lang w:val="en-US"/>
        </w:rPr>
      </w:pPr>
      <w:r w:rsidRPr="000D63F6">
        <w:rPr>
          <w:lang w:val="en-US"/>
        </w:rPr>
        <w:t xml:space="preserve">This initiative demands that EU institutions and member states stop censoring the internet and guarantee true online freedom of expression. In the wake of the UK’s </w:t>
      </w:r>
      <w:r>
        <w:rPr>
          <w:b/>
          <w:lang w:val="en-US"/>
        </w:rPr>
        <w:t>C</w:t>
      </w:r>
      <w:r w:rsidRPr="000D63F6">
        <w:rPr>
          <w:b/>
          <w:lang w:val="en-US"/>
        </w:rPr>
        <w:t>OSA</w:t>
      </w:r>
      <w:r>
        <w:rPr>
          <w:b/>
          <w:lang w:val="en-US"/>
        </w:rPr>
        <w:t xml:space="preserve"> legislation, </w:t>
      </w:r>
      <w:r w:rsidRPr="008F263F">
        <w:rPr>
          <w:lang w:val="en-US"/>
        </w:rPr>
        <w:t>the</w:t>
      </w:r>
      <w:r>
        <w:rPr>
          <w:b/>
          <w:lang w:val="en-US"/>
        </w:rPr>
        <w:t xml:space="preserve"> OSA</w:t>
      </w:r>
      <w:r w:rsidRPr="000D63F6">
        <w:rPr>
          <w:b/>
          <w:lang w:val="en-US"/>
        </w:rPr>
        <w:t xml:space="preserve"> legislation</w:t>
      </w:r>
      <w:r>
        <w:rPr>
          <w:b/>
          <w:lang w:val="en-US"/>
        </w:rPr>
        <w:t xml:space="preserve">, </w:t>
      </w:r>
      <w:r w:rsidRPr="008F263F">
        <w:rPr>
          <w:lang w:val="en-US"/>
        </w:rPr>
        <w:t>the US’s</w:t>
      </w:r>
      <w:r>
        <w:rPr>
          <w:b/>
          <w:lang w:val="en-US"/>
        </w:rPr>
        <w:t xml:space="preserve"> KOSA legislation</w:t>
      </w:r>
      <w:r w:rsidRPr="000D63F6">
        <w:rPr>
          <w:lang w:val="en-US"/>
        </w:rPr>
        <w:t>—</w:t>
      </w:r>
      <w:r>
        <w:rPr>
          <w:lang w:val="en-US"/>
        </w:rPr>
        <w:t xml:space="preserve">all </w:t>
      </w:r>
      <w:r w:rsidRPr="000D63F6">
        <w:rPr>
          <w:lang w:val="en-US"/>
        </w:rPr>
        <w:t xml:space="preserve">widely criticized not only for curbing free speech but also for creating major security risks by discouraging the sharing of critical information— and the U.S. </w:t>
      </w:r>
      <w:r w:rsidRPr="000D63F6">
        <w:rPr>
          <w:rStyle w:val="Enfasigrassetto"/>
          <w:lang w:val="en-US"/>
        </w:rPr>
        <w:t>BEARD Act</w:t>
      </w:r>
      <w:r w:rsidRPr="000D63F6">
        <w:rPr>
          <w:lang w:val="en-US"/>
        </w:rPr>
        <w:t>—which allows copyright holders to demand site</w:t>
      </w:r>
      <w:r w:rsidRPr="000D63F6">
        <w:rPr>
          <w:lang w:val="en-US"/>
        </w:rPr>
        <w:noBreakHyphen/>
        <w:t>blocking orders without oversight—we propose the following concrete measures:</w:t>
      </w:r>
    </w:p>
    <w:p w:rsidR="00690DB1" w:rsidRPr="00E03935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D94C68">
        <w:rPr>
          <w:rStyle w:val="Titolo2Carattere"/>
          <w:lang w:val="en-US"/>
        </w:rPr>
        <w:t>No Mandatory Biometric IDs</w:t>
      </w:r>
      <w:r w:rsidRPr="00DD5C06">
        <w:rPr>
          <w:lang w:val="en-US"/>
        </w:rPr>
        <w:br/>
        <w:t xml:space="preserve">Ban any requirement for biometric identification on social networks or online platforms—whether imposed by governments, EU institutions, or private companies—as per </w:t>
      </w:r>
      <w:r w:rsidRPr="00DD5C06">
        <w:rPr>
          <w:rStyle w:val="Enfasigrassetto"/>
          <w:lang w:val="en-US"/>
        </w:rPr>
        <w:t>Article 5(1)(h) of Regulation (EU) 2024/1689 – the AI Act</w:t>
      </w:r>
      <w:r w:rsidRPr="00DD5C06">
        <w:rPr>
          <w:lang w:val="en-US"/>
        </w:rPr>
        <w:t>, which prohibits real</w:t>
      </w:r>
      <w:r w:rsidRPr="00DD5C06">
        <w:rPr>
          <w:lang w:val="en-US"/>
        </w:rPr>
        <w:noBreakHyphen/>
        <w:t xml:space="preserve">time remote biometric identification in publicly accessible spaces even for law enforcement, with only narrow exceptions; and as mandated by </w:t>
      </w:r>
      <w:r w:rsidRPr="00DD5C06">
        <w:rPr>
          <w:rStyle w:val="Enfasigrassetto"/>
          <w:lang w:val="en-US"/>
        </w:rPr>
        <w:t>Article 9 of Regulation (EU) 2016/679 (GDPR)</w:t>
      </w:r>
      <w:r w:rsidRPr="00DD5C06">
        <w:rPr>
          <w:lang w:val="en-US"/>
        </w:rPr>
        <w:t>, which treats biometric data as a special category and forbids processing except with explicit consent.</w:t>
      </w:r>
      <w:r>
        <w:rPr>
          <w:lang w:val="en-US"/>
        </w:rPr>
        <w:br/>
        <w:t>With this we include officially issued and government recognized documents and age verification though biometrics and IDs.</w:t>
      </w:r>
      <w:r w:rsidRPr="00E03935">
        <w:rPr>
          <w:lang w:val="en-US"/>
        </w:rPr>
        <w:br/>
      </w:r>
      <w:r w:rsidRPr="00E03935">
        <w:rPr>
          <w:rStyle w:val="Enfasicorsivo"/>
          <w:lang w:val="en-US"/>
        </w:rPr>
        <w:t>Exception</w:t>
      </w:r>
      <w:r w:rsidRPr="00E03935">
        <w:rPr>
          <w:lang w:val="en-US"/>
        </w:rPr>
        <w:t>: Secure services where identity is essential (e.g., banking portals, official government/EU sites).</w:t>
      </w:r>
    </w:p>
    <w:p w:rsidR="00690DB1" w:rsidRPr="00DD5C06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D94C68">
        <w:rPr>
          <w:rStyle w:val="Titolo2Carattere"/>
          <w:lang w:val="en-US"/>
        </w:rPr>
        <w:t>AI Profiling Only with Explicit Consent</w:t>
      </w:r>
      <w:r w:rsidRPr="00DD5C06">
        <w:rPr>
          <w:lang w:val="en-US"/>
        </w:rPr>
        <w:br/>
        <w:t>Prohibit the use of AI, including profiling and automated decision</w:t>
      </w:r>
      <w:r w:rsidRPr="00DD5C06">
        <w:rPr>
          <w:lang w:val="en-US"/>
        </w:rPr>
        <w:noBreakHyphen/>
        <w:t xml:space="preserve">making, unless users provide </w:t>
      </w:r>
      <w:r w:rsidRPr="00DD5C06">
        <w:rPr>
          <w:rStyle w:val="Enfasigrassetto"/>
          <w:lang w:val="en-US"/>
        </w:rPr>
        <w:t>explicit, informed, opt</w:t>
      </w:r>
      <w:r w:rsidRPr="00DD5C06">
        <w:rPr>
          <w:rStyle w:val="Enfasigrassetto"/>
          <w:lang w:val="en-US"/>
        </w:rPr>
        <w:noBreakHyphen/>
        <w:t>in consent</w:t>
      </w:r>
      <w:r w:rsidRPr="00DD5C06">
        <w:rPr>
          <w:lang w:val="en-US"/>
        </w:rPr>
        <w:t xml:space="preserve">, in strict alignment with </w:t>
      </w:r>
      <w:r w:rsidRPr="00DD5C06">
        <w:rPr>
          <w:rStyle w:val="Enfasigrassetto"/>
          <w:lang w:val="en-US"/>
        </w:rPr>
        <w:t>Article 22 of Regulation (EU) 2016/679 (GDPR)</w:t>
      </w:r>
      <w:r w:rsidRPr="00DD5C06">
        <w:rPr>
          <w:lang w:val="en-US"/>
        </w:rPr>
        <w:t xml:space="preserve">, which grants individuals the right not to be subject to solely automated decisions that have legal or similarly significant effects—unless covered by a contract or otherwise legally authorized. Any system based on such profiling must also implement </w:t>
      </w:r>
      <w:r w:rsidRPr="00DD5C06">
        <w:rPr>
          <w:rStyle w:val="Enfasigrassetto"/>
          <w:lang w:val="en-US"/>
        </w:rPr>
        <w:t>human</w:t>
      </w:r>
      <w:r w:rsidRPr="00DD5C06">
        <w:rPr>
          <w:rStyle w:val="Enfasigrassetto"/>
          <w:lang w:val="en-US"/>
        </w:rPr>
        <w:noBreakHyphen/>
        <w:t>in</w:t>
      </w:r>
      <w:r w:rsidRPr="00DD5C06">
        <w:rPr>
          <w:rStyle w:val="Enfasigrassetto"/>
          <w:lang w:val="en-US"/>
        </w:rPr>
        <w:noBreakHyphen/>
        <w:t>the</w:t>
      </w:r>
      <w:r w:rsidRPr="00DD5C06">
        <w:rPr>
          <w:rStyle w:val="Enfasigrassetto"/>
          <w:lang w:val="en-US"/>
        </w:rPr>
        <w:noBreakHyphen/>
        <w:t>loop safeguards</w:t>
      </w:r>
      <w:r w:rsidRPr="00DD5C06">
        <w:rPr>
          <w:lang w:val="en-US"/>
        </w:rPr>
        <w:t xml:space="preserve">, the possibility to contest the outcome, and meet transparency duties under </w:t>
      </w:r>
      <w:r w:rsidRPr="00DD5C06">
        <w:rPr>
          <w:rStyle w:val="Enfasigrassetto"/>
          <w:lang w:val="en-US"/>
        </w:rPr>
        <w:t>Articles 13–15, 21, and 35 GDPR</w:t>
      </w:r>
      <w:r w:rsidRPr="00DD5C06">
        <w:rPr>
          <w:lang w:val="en-US"/>
        </w:rPr>
        <w:t>.</w:t>
      </w:r>
      <w:r w:rsidRPr="00DD5C06">
        <w:rPr>
          <w:lang w:val="en-US"/>
        </w:rPr>
        <w:br/>
        <w:t>This protects sensitive personal data from being mined and weaponized.</w:t>
      </w:r>
    </w:p>
    <w:p w:rsidR="00690DB1" w:rsidRPr="00DD5C06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D94C68">
        <w:rPr>
          <w:rStyle w:val="Titolo2Carattere"/>
          <w:lang w:val="en-US"/>
        </w:rPr>
        <w:t>Guaranteed Access to Legal Digital Content</w:t>
      </w:r>
      <w:r w:rsidRPr="00DD5C06">
        <w:rPr>
          <w:lang w:val="en-US"/>
        </w:rPr>
        <w:br/>
        <w:t xml:space="preserve">Guarantee access to legal digital content throughout the EU by outlawing </w:t>
      </w:r>
      <w:r w:rsidRPr="00DD5C06">
        <w:rPr>
          <w:rStyle w:val="Enfasigrassetto"/>
          <w:lang w:val="en-US"/>
        </w:rPr>
        <w:t>arbitrary, non-transparent content removal</w:t>
      </w:r>
      <w:r w:rsidRPr="00DD5C06">
        <w:rPr>
          <w:lang w:val="en-US"/>
        </w:rPr>
        <w:t xml:space="preserve"> or geo</w:t>
      </w:r>
      <w:r w:rsidRPr="00DD5C06">
        <w:rPr>
          <w:lang w:val="en-US"/>
        </w:rPr>
        <w:noBreakHyphen/>
        <w:t xml:space="preserve">blocking by platforms, in compliance with the </w:t>
      </w:r>
      <w:r w:rsidRPr="00DD5C06">
        <w:rPr>
          <w:rStyle w:val="Enfasigrassetto"/>
          <w:lang w:val="en-US"/>
        </w:rPr>
        <w:t>Digital Services Act (Regulation (EU) 2022/2065)</w:t>
      </w:r>
      <w:r w:rsidRPr="00DD5C06">
        <w:rPr>
          <w:lang w:val="en-US"/>
        </w:rPr>
        <w:t xml:space="preserve"> — specifically </w:t>
      </w:r>
      <w:r w:rsidRPr="00DD5C06">
        <w:rPr>
          <w:rStyle w:val="Enfasigrassetto"/>
          <w:lang w:val="en-US"/>
        </w:rPr>
        <w:t>Articles 8–10</w:t>
      </w:r>
      <w:r w:rsidRPr="00DD5C06">
        <w:rPr>
          <w:lang w:val="en-US"/>
        </w:rPr>
        <w:t xml:space="preserve"> on notice-and-action procedures, </w:t>
      </w:r>
      <w:r w:rsidRPr="00DD5C06">
        <w:rPr>
          <w:rStyle w:val="Enfasigrassetto"/>
          <w:lang w:val="en-US"/>
        </w:rPr>
        <w:t>Article 17</w:t>
      </w:r>
      <w:r w:rsidRPr="00DD5C06">
        <w:rPr>
          <w:lang w:val="en-US"/>
        </w:rPr>
        <w:t xml:space="preserve"> on appeal rights, and enhanced </w:t>
      </w:r>
      <w:r w:rsidRPr="00DD5C06">
        <w:rPr>
          <w:rStyle w:val="Enfasigrassetto"/>
          <w:lang w:val="en-US"/>
        </w:rPr>
        <w:t>transparency reporting</w:t>
      </w:r>
      <w:r w:rsidRPr="00DD5C06">
        <w:rPr>
          <w:lang w:val="en-US"/>
        </w:rPr>
        <w:t xml:space="preserve"> obligations. These provisions, combined with </w:t>
      </w:r>
      <w:r w:rsidRPr="00DD5C06">
        <w:rPr>
          <w:rStyle w:val="Enfasigrassetto"/>
          <w:lang w:val="en-US"/>
        </w:rPr>
        <w:t>Article 11 of the EU Charter of Fundamental Rights</w:t>
      </w:r>
      <w:r w:rsidRPr="00DD5C06">
        <w:rPr>
          <w:lang w:val="en-US"/>
        </w:rPr>
        <w:t xml:space="preserve"> (freedom of expression and information), ensure that content which is lawful remains accessible and that users can effectively challenge unjust removals.</w:t>
      </w:r>
    </w:p>
    <w:p w:rsidR="00690DB1" w:rsidRPr="00DD5C06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D94C68">
        <w:rPr>
          <w:rStyle w:val="Titolo2Carattere"/>
          <w:lang w:val="en-US"/>
        </w:rPr>
        <w:t>Rock-Solid Free Speech Protections</w:t>
      </w:r>
      <w:r w:rsidRPr="00DD5C06">
        <w:rPr>
          <w:lang w:val="en-US"/>
        </w:rPr>
        <w:br/>
      </w:r>
      <w:r w:rsidRPr="00DD5C06">
        <w:rPr>
          <w:rStyle w:val="relative"/>
          <w:lang w:val="en-US"/>
        </w:rPr>
        <w:t xml:space="preserve">Defend the right to satire, humor and honest opinion online as guaranteed by </w:t>
      </w:r>
      <w:r w:rsidRPr="00DD5C06">
        <w:rPr>
          <w:rStyle w:val="Enfasigrassetto"/>
          <w:lang w:val="en-US"/>
        </w:rPr>
        <w:t>Article 11 of the Charter of Fundamental Rights of the EU</w:t>
      </w:r>
      <w:r w:rsidRPr="00DD5C06">
        <w:rPr>
          <w:rStyle w:val="relative"/>
          <w:lang w:val="en-US"/>
        </w:rPr>
        <w:t xml:space="preserve"> (freedom of expression and information).</w:t>
      </w:r>
      <w:r w:rsidRPr="00DD5C06">
        <w:rPr>
          <w:lang w:val="en-US"/>
        </w:rPr>
        <w:br/>
      </w:r>
      <w:r w:rsidRPr="00DD5C06">
        <w:rPr>
          <w:rStyle w:val="relative"/>
          <w:lang w:val="en-US"/>
        </w:rPr>
        <w:t xml:space="preserve">Platforms and intermediaries must enforce their terms of service in a </w:t>
      </w:r>
      <w:r w:rsidRPr="00DD5C06">
        <w:rPr>
          <w:rStyle w:val="Enfasigrassetto"/>
          <w:lang w:val="en-US"/>
        </w:rPr>
        <w:t>diligent, proportionate and objective</w:t>
      </w:r>
      <w:r w:rsidRPr="00DD5C06">
        <w:rPr>
          <w:rStyle w:val="relative"/>
          <w:lang w:val="en-US"/>
        </w:rPr>
        <w:t xml:space="preserve"> manner (§14 of the </w:t>
      </w:r>
      <w:r w:rsidRPr="00DD5C06">
        <w:rPr>
          <w:rStyle w:val="Enfasigrassetto"/>
          <w:lang w:val="en-US"/>
        </w:rPr>
        <w:t>Digital Services Act (Regulation (EU) 2022/2065)</w:t>
      </w:r>
      <w:r w:rsidRPr="00DD5C06">
        <w:rPr>
          <w:rStyle w:val="relative"/>
          <w:lang w:val="en-US"/>
        </w:rPr>
        <w:t xml:space="preserve">), providing a </w:t>
      </w:r>
      <w:r w:rsidRPr="00DD5C06">
        <w:rPr>
          <w:rStyle w:val="Enfasigrassetto"/>
          <w:lang w:val="en-US"/>
        </w:rPr>
        <w:t>clear Statement of Reasons</w:t>
      </w:r>
      <w:r w:rsidRPr="00DD5C06">
        <w:rPr>
          <w:rStyle w:val="relative"/>
          <w:lang w:val="en-US"/>
        </w:rPr>
        <w:t xml:space="preserve"> for any moderation action (§17), and a </w:t>
      </w:r>
      <w:r w:rsidRPr="00DD5C06">
        <w:rPr>
          <w:rStyle w:val="Enfasigrassetto"/>
          <w:lang w:val="en-US"/>
        </w:rPr>
        <w:t>free, user</w:t>
      </w:r>
      <w:r w:rsidRPr="00DD5C06">
        <w:rPr>
          <w:rStyle w:val="Enfasigrassetto"/>
          <w:lang w:val="en-US"/>
        </w:rPr>
        <w:noBreakHyphen/>
        <w:t>friendly internal complaint</w:t>
      </w:r>
      <w:r w:rsidRPr="00DD5C06">
        <w:rPr>
          <w:rStyle w:val="Enfasigrassetto"/>
          <w:lang w:val="en-US"/>
        </w:rPr>
        <w:noBreakHyphen/>
        <w:t>handling procedure with timely remedy and escalation rights</w:t>
      </w:r>
      <w:r w:rsidRPr="00DD5C06">
        <w:rPr>
          <w:rStyle w:val="relative"/>
          <w:lang w:val="en-US"/>
        </w:rPr>
        <w:t>, in line with §20.</w:t>
      </w:r>
      <w:r w:rsidRPr="00DD5C06">
        <w:rPr>
          <w:lang w:val="en-US"/>
        </w:rPr>
        <w:br/>
      </w:r>
      <w:r w:rsidRPr="00DD5C06">
        <w:rPr>
          <w:rStyle w:val="relative"/>
          <w:lang w:val="en-US"/>
        </w:rPr>
        <w:t xml:space="preserve">These safeguards ensure that lawful humor or critique cannot be arbitrarily limited, demonstrated by the “platform must pay regard to fundamental rights” principle already embedded in DSA’s </w:t>
      </w:r>
      <w:r w:rsidRPr="00DD5C06">
        <w:rPr>
          <w:rStyle w:val="Enfasigrassetto"/>
          <w:lang w:val="en-US"/>
        </w:rPr>
        <w:t>Recital 38</w:t>
      </w:r>
      <w:r w:rsidRPr="00DD5C06">
        <w:rPr>
          <w:rStyle w:val="relative"/>
          <w:lang w:val="en-US"/>
        </w:rPr>
        <w:t>.</w:t>
      </w:r>
    </w:p>
    <w:p w:rsidR="00690DB1" w:rsidRPr="001655B2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D94C68">
        <w:rPr>
          <w:rStyle w:val="Titolo2Carattere"/>
          <w:lang w:val="en-US"/>
        </w:rPr>
        <w:lastRenderedPageBreak/>
        <w:t>Fair Online Billing Law</w:t>
      </w:r>
      <w:r w:rsidRPr="00DD5C06">
        <w:rPr>
          <w:lang w:val="en-US"/>
        </w:rPr>
        <w:br/>
      </w:r>
      <w:r w:rsidRPr="001655B2">
        <w:rPr>
          <w:lang w:val="en-US"/>
        </w:rPr>
        <w:t>Stop payment processors—even those operating cross</w:t>
      </w:r>
      <w:r w:rsidRPr="001655B2">
        <w:rPr>
          <w:lang w:val="en-US"/>
        </w:rPr>
        <w:noBreakHyphen/>
        <w:t xml:space="preserve">border under </w:t>
      </w:r>
      <w:r w:rsidRPr="001655B2">
        <w:rPr>
          <w:b/>
          <w:bCs/>
          <w:lang w:val="en-US"/>
        </w:rPr>
        <w:t>PSD2 (Directive EU 2015/2366)</w:t>
      </w:r>
      <w:r w:rsidRPr="001655B2">
        <w:rPr>
          <w:lang w:val="en-US"/>
        </w:rPr>
        <w:t>—from terminating financial services to platforms on a speech</w:t>
      </w:r>
      <w:r w:rsidRPr="001655B2">
        <w:rPr>
          <w:lang w:val="en-US"/>
        </w:rPr>
        <w:noBreakHyphen/>
        <w:t xml:space="preserve">related or arbitrary basis, which would otherwise constitute an </w:t>
      </w:r>
      <w:r w:rsidRPr="001655B2">
        <w:rPr>
          <w:b/>
          <w:bCs/>
          <w:lang w:val="en-US"/>
        </w:rPr>
        <w:t>unfair trading condition or exclusionary practice</w:t>
      </w:r>
      <w:r w:rsidRPr="001655B2">
        <w:rPr>
          <w:lang w:val="en-US"/>
        </w:rPr>
        <w:t xml:space="preserve"> under </w:t>
      </w:r>
      <w:r w:rsidRPr="001655B2">
        <w:rPr>
          <w:b/>
          <w:bCs/>
          <w:lang w:val="en-US"/>
        </w:rPr>
        <w:t>Article 102 TFEU</w:t>
      </w:r>
      <w:r w:rsidRPr="001655B2">
        <w:rPr>
          <w:lang w:val="en-US"/>
        </w:rPr>
        <w:t>.</w:t>
      </w:r>
      <w:r w:rsidRPr="001655B2">
        <w:rPr>
          <w:lang w:val="en-US"/>
        </w:rPr>
        <w:br/>
        <w:t>We propose requiring processors to offer two service tiers:</w:t>
      </w:r>
    </w:p>
    <w:p w:rsidR="00690DB1" w:rsidRPr="001655B2" w:rsidRDefault="00690DB1" w:rsidP="00690DB1">
      <w:pPr>
        <w:pStyle w:val="Paragrafoelenco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55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Selective</w:t>
      </w:r>
      <w:r w:rsidRPr="001655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noBreakHyphen/>
        <w:t>Service Tier</w:t>
      </w:r>
      <w:r w:rsidRPr="001655B2">
        <w:rPr>
          <w:rFonts w:ascii="Times New Roman" w:eastAsia="Times New Roman" w:hAnsi="Times New Roman" w:cs="Times New Roman"/>
          <w:sz w:val="24"/>
          <w:szCs w:val="24"/>
          <w:lang w:val="en-US"/>
        </w:rPr>
        <w:t>, where platforms consent to additional transparency and oversight obligations;</w:t>
      </w:r>
    </w:p>
    <w:p w:rsidR="00690DB1" w:rsidRPr="001655B2" w:rsidRDefault="00690DB1" w:rsidP="00690DB1">
      <w:pPr>
        <w:pStyle w:val="Paragrafoelenco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55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Universal</w:t>
      </w:r>
      <w:r w:rsidRPr="001655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noBreakHyphen/>
        <w:t>Access Tier</w:t>
      </w:r>
      <w:r w:rsidRPr="00165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where </w:t>
      </w:r>
      <w:r w:rsidRPr="001655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 processor may refuse service arbitrarily or on political grounds</w:t>
      </w:r>
      <w:r w:rsidRPr="00165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may only unlink services based on </w:t>
      </w:r>
      <w:r w:rsidRPr="001655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clear, public, non</w:t>
      </w:r>
      <w:r w:rsidRPr="001655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noBreakHyphen/>
        <w:t>discriminatory criteria</w:t>
      </w:r>
      <w:r w:rsidRPr="00165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(similar to obligations currently imposed on “gatekeepers” under </w:t>
      </w:r>
      <w:r w:rsidRPr="001655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Article 5 of the Digital Markets Act (Regulation 2022/1925)</w:t>
      </w:r>
      <w:r w:rsidRPr="001655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Pr="001655B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This principle aligns with ongoing Competition Commission scrutiny of Visa/</w:t>
      </w:r>
      <w:proofErr w:type="spellStart"/>
      <w:r w:rsidRPr="001655B2">
        <w:rPr>
          <w:rFonts w:ascii="Times New Roman" w:eastAsia="Times New Roman" w:hAnsi="Times New Roman" w:cs="Times New Roman"/>
          <w:sz w:val="24"/>
          <w:szCs w:val="24"/>
          <w:lang w:val="en-US"/>
        </w:rPr>
        <w:t>Mastercard’s</w:t>
      </w:r>
      <w:proofErr w:type="spellEnd"/>
      <w:r w:rsidRPr="001655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opaque fee structures and dominance in the EU payments market.</w:t>
      </w:r>
    </w:p>
    <w:p w:rsidR="00690DB1" w:rsidRPr="001655B2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1655B2">
        <w:rPr>
          <w:rStyle w:val="Titolo2Carattere"/>
          <w:lang w:val="en-US"/>
        </w:rPr>
        <w:t>Clamp Down on Payment-Processor Monopolies</w:t>
      </w:r>
      <w:r w:rsidRPr="001655B2">
        <w:rPr>
          <w:rStyle w:val="Titolo2Carattere"/>
          <w:lang w:val="en-US"/>
        </w:rPr>
        <w:br/>
      </w:r>
      <w:r w:rsidRPr="001655B2">
        <w:rPr>
          <w:rStyle w:val="relative"/>
          <w:lang w:val="en-US"/>
        </w:rPr>
        <w:t>Introduce ex</w:t>
      </w:r>
      <w:r w:rsidRPr="001655B2">
        <w:rPr>
          <w:rStyle w:val="relative"/>
          <w:lang w:val="en-US"/>
        </w:rPr>
        <w:noBreakHyphen/>
        <w:t>ante and ex</w:t>
      </w:r>
      <w:r w:rsidRPr="001655B2">
        <w:rPr>
          <w:rStyle w:val="relative"/>
          <w:lang w:val="en-US"/>
        </w:rPr>
        <w:noBreakHyphen/>
        <w:t xml:space="preserve">post </w:t>
      </w:r>
      <w:r w:rsidRPr="001655B2">
        <w:rPr>
          <w:rStyle w:val="Enfasigrassetto"/>
          <w:lang w:val="en-US"/>
        </w:rPr>
        <w:t>anti</w:t>
      </w:r>
      <w:r w:rsidRPr="001655B2">
        <w:rPr>
          <w:rStyle w:val="Enfasigrassetto"/>
          <w:lang w:val="en-US"/>
        </w:rPr>
        <w:noBreakHyphen/>
        <w:t>monopoly provisions</w:t>
      </w:r>
      <w:r w:rsidRPr="001655B2">
        <w:rPr>
          <w:rStyle w:val="relative"/>
          <w:lang w:val="en-US"/>
        </w:rPr>
        <w:t xml:space="preserve">, enabling the European Commission and national competition authorities to sanction payment networks whose dominance leads to </w:t>
      </w:r>
      <w:r w:rsidRPr="001655B2">
        <w:rPr>
          <w:rStyle w:val="Enfasigrassetto"/>
          <w:lang w:val="en-US"/>
        </w:rPr>
        <w:t>vague, arbitrary requirements, mass contract withdrawals</w:t>
      </w:r>
      <w:r w:rsidRPr="001655B2">
        <w:rPr>
          <w:rStyle w:val="relative"/>
          <w:lang w:val="en-US"/>
        </w:rPr>
        <w:t xml:space="preserve">, or </w:t>
      </w:r>
      <w:r w:rsidRPr="001655B2">
        <w:rPr>
          <w:rStyle w:val="Enfasigrassetto"/>
          <w:lang w:val="en-US"/>
        </w:rPr>
        <w:t>indirect censorship of platforms or users</w:t>
      </w:r>
      <w:r w:rsidRPr="001655B2">
        <w:rPr>
          <w:rStyle w:val="relative"/>
          <w:lang w:val="en-US"/>
        </w:rPr>
        <w:t xml:space="preserve">—in breach of </w:t>
      </w:r>
      <w:r w:rsidRPr="001655B2">
        <w:rPr>
          <w:rStyle w:val="Enfasigrassetto"/>
          <w:lang w:val="en-US"/>
        </w:rPr>
        <w:t>Article 102 TFEU</w:t>
      </w:r>
      <w:r w:rsidRPr="001655B2">
        <w:rPr>
          <w:rStyle w:val="relative"/>
          <w:lang w:val="en-US"/>
        </w:rPr>
        <w:t>.</w:t>
      </w:r>
      <w:r w:rsidRPr="001655B2">
        <w:rPr>
          <w:lang w:val="en-US"/>
        </w:rPr>
        <w:br/>
      </w:r>
      <w:r w:rsidRPr="001655B2">
        <w:rPr>
          <w:rStyle w:val="relative"/>
          <w:lang w:val="en-US"/>
        </w:rPr>
        <w:t xml:space="preserve">This would mirror enforcement against established dominant platforms, such as the Apple Pay </w:t>
      </w:r>
      <w:r w:rsidRPr="001655B2">
        <w:rPr>
          <w:rStyle w:val="Enfasigrassetto"/>
          <w:lang w:val="en-US"/>
        </w:rPr>
        <w:t>“self</w:t>
      </w:r>
      <w:r w:rsidRPr="001655B2">
        <w:rPr>
          <w:rStyle w:val="Enfasigrassetto"/>
          <w:lang w:val="en-US"/>
        </w:rPr>
        <w:noBreakHyphen/>
      </w:r>
      <w:proofErr w:type="spellStart"/>
      <w:r w:rsidRPr="001655B2">
        <w:rPr>
          <w:rStyle w:val="Enfasigrassetto"/>
          <w:lang w:val="en-US"/>
        </w:rPr>
        <w:t>preferencing</w:t>
      </w:r>
      <w:proofErr w:type="spellEnd"/>
      <w:r w:rsidRPr="001655B2">
        <w:rPr>
          <w:rStyle w:val="Enfasigrassetto"/>
          <w:lang w:val="en-US"/>
        </w:rPr>
        <w:t>” case</w:t>
      </w:r>
      <w:r w:rsidRPr="001655B2">
        <w:rPr>
          <w:rStyle w:val="relative"/>
          <w:lang w:val="en-US"/>
        </w:rPr>
        <w:t>, where the Commission is evaluating whether app exclusion constitutes abuse of dominance.</w:t>
      </w:r>
      <w:r w:rsidRPr="001655B2">
        <w:rPr>
          <w:lang w:val="en-US"/>
        </w:rPr>
        <w:br/>
      </w:r>
      <w:r w:rsidRPr="001655B2">
        <w:rPr>
          <w:rStyle w:val="relative"/>
          <w:lang w:val="en-US"/>
        </w:rPr>
        <w:t xml:space="preserve">Platforms should also be able to invoke </w:t>
      </w:r>
      <w:r w:rsidRPr="001655B2">
        <w:rPr>
          <w:rStyle w:val="Enfasigrassetto"/>
          <w:lang w:val="en-US"/>
        </w:rPr>
        <w:t>structural or behavioral remedies</w:t>
      </w:r>
      <w:r w:rsidRPr="001655B2">
        <w:rPr>
          <w:rStyle w:val="relative"/>
          <w:lang w:val="en-US"/>
        </w:rPr>
        <w:t xml:space="preserve">, including </w:t>
      </w:r>
      <w:r w:rsidRPr="001655B2">
        <w:rPr>
          <w:rStyle w:val="Enfasigrassetto"/>
          <w:lang w:val="en-US"/>
        </w:rPr>
        <w:t>access to alternative processors</w:t>
      </w:r>
      <w:r w:rsidRPr="001655B2">
        <w:rPr>
          <w:rStyle w:val="relative"/>
          <w:lang w:val="en-US"/>
        </w:rPr>
        <w:t xml:space="preserve">, data portability, and meaningful </w:t>
      </w:r>
      <w:r w:rsidRPr="001655B2">
        <w:rPr>
          <w:rStyle w:val="Enfasigrassetto"/>
          <w:lang w:val="en-US"/>
        </w:rPr>
        <w:t>switching rights</w:t>
      </w:r>
      <w:r w:rsidRPr="001655B2">
        <w:rPr>
          <w:rStyle w:val="relative"/>
          <w:lang w:val="en-US"/>
        </w:rPr>
        <w:t xml:space="preserve">, consistent with </w:t>
      </w:r>
      <w:r w:rsidRPr="001655B2">
        <w:rPr>
          <w:rStyle w:val="Enfasigrassetto"/>
          <w:lang w:val="en-US"/>
        </w:rPr>
        <w:t>DMA Article 5 and 6 obligations</w:t>
      </w:r>
      <w:r w:rsidRPr="001655B2">
        <w:rPr>
          <w:rStyle w:val="relative"/>
          <w:lang w:val="en-US"/>
        </w:rPr>
        <w:t xml:space="preserve"> applied to gatekeepers.</w:t>
      </w:r>
      <w:r w:rsidRPr="001655B2">
        <w:rPr>
          <w:lang w:val="en-US"/>
        </w:rPr>
        <w:br/>
      </w:r>
      <w:r w:rsidRPr="001655B2">
        <w:rPr>
          <w:rStyle w:val="relative"/>
          <w:lang w:val="en-US"/>
        </w:rPr>
        <w:t xml:space="preserve">The expansion of EU competition investigations into </w:t>
      </w:r>
      <w:r w:rsidRPr="001655B2">
        <w:rPr>
          <w:rStyle w:val="Enfasigrassetto"/>
          <w:lang w:val="en-US"/>
        </w:rPr>
        <w:t>payment processor fees and exclusionary practices in 2024–25</w:t>
      </w:r>
      <w:r w:rsidRPr="001655B2">
        <w:rPr>
          <w:rStyle w:val="relative"/>
          <w:lang w:val="en-US"/>
        </w:rPr>
        <w:t xml:space="preserve"> provides urgent momentum for this reform.</w:t>
      </w:r>
    </w:p>
    <w:p w:rsidR="00690DB1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575E5F">
        <w:rPr>
          <w:rStyle w:val="Titolo2Carattere"/>
          <w:lang w:val="en-US"/>
        </w:rPr>
        <w:t>Universal VPN &amp; Encryption Rights</w:t>
      </w:r>
      <w:r w:rsidRPr="00575E5F">
        <w:rPr>
          <w:lang w:val="en-US"/>
        </w:rPr>
        <w:br/>
        <w:t>Guarantee that all EU citizens have the right to use strong encryption and Virtual Private Networks (VPNs), without interference or mandatory backdoors.</w:t>
      </w:r>
      <w:r w:rsidRPr="00575E5F">
        <w:rPr>
          <w:lang w:val="en-US"/>
        </w:rPr>
        <w:br/>
        <w:t xml:space="preserve">Based on </w:t>
      </w:r>
      <w:r w:rsidRPr="00575E5F">
        <w:rPr>
          <w:rStyle w:val="Enfasigrassetto"/>
          <w:lang w:val="en-US"/>
        </w:rPr>
        <w:t xml:space="preserve">Article 5(1) of the </w:t>
      </w:r>
      <w:proofErr w:type="spellStart"/>
      <w:r w:rsidRPr="00575E5F">
        <w:rPr>
          <w:rStyle w:val="Enfasigrassetto"/>
          <w:lang w:val="en-US"/>
        </w:rPr>
        <w:t>ePrivacy</w:t>
      </w:r>
      <w:proofErr w:type="spellEnd"/>
      <w:r w:rsidRPr="00575E5F">
        <w:rPr>
          <w:rStyle w:val="Enfasigrassetto"/>
          <w:lang w:val="en-US"/>
        </w:rPr>
        <w:t xml:space="preserve"> Directive (2002/58/EC)</w:t>
      </w:r>
      <w:r w:rsidRPr="00575E5F">
        <w:rPr>
          <w:lang w:val="en-US"/>
        </w:rPr>
        <w:t>, which enshrines the confidentiality of electronic communications—recognizing encryption as a core tool for protecting privacy and as a personal security tool.</w:t>
      </w:r>
      <w:r w:rsidRPr="00575E5F">
        <w:rPr>
          <w:lang w:val="en-US"/>
        </w:rPr>
        <w:br/>
        <w:t xml:space="preserve">Reinforced by </w:t>
      </w:r>
      <w:r w:rsidRPr="00575E5F">
        <w:rPr>
          <w:rStyle w:val="Enfasigrassetto"/>
          <w:lang w:val="en-US"/>
        </w:rPr>
        <w:t xml:space="preserve">Recital 35 of the draft </w:t>
      </w:r>
      <w:proofErr w:type="spellStart"/>
      <w:r w:rsidRPr="00575E5F">
        <w:rPr>
          <w:rStyle w:val="Enfasigrassetto"/>
          <w:lang w:val="en-US"/>
        </w:rPr>
        <w:t>ePrivacy</w:t>
      </w:r>
      <w:proofErr w:type="spellEnd"/>
      <w:r w:rsidRPr="00575E5F">
        <w:rPr>
          <w:rStyle w:val="Enfasigrassetto"/>
          <w:lang w:val="en-US"/>
        </w:rPr>
        <w:t xml:space="preserve"> Regulation (subject to finalization)</w:t>
      </w:r>
      <w:r w:rsidRPr="00575E5F">
        <w:rPr>
          <w:lang w:val="en-US"/>
        </w:rPr>
        <w:t xml:space="preserve"> and by the </w:t>
      </w:r>
      <w:r w:rsidRPr="00575E5F">
        <w:rPr>
          <w:rStyle w:val="Enfasigrassetto"/>
          <w:lang w:val="en-US"/>
        </w:rPr>
        <w:t>Charter of Fundamental Rights</w:t>
      </w:r>
      <w:r w:rsidRPr="00575E5F">
        <w:rPr>
          <w:lang w:val="en-US"/>
        </w:rPr>
        <w:t xml:space="preserve">, especially </w:t>
      </w:r>
      <w:r w:rsidRPr="00575E5F">
        <w:rPr>
          <w:rStyle w:val="Enfasigrassetto"/>
          <w:lang w:val="en-US"/>
        </w:rPr>
        <w:t>Article 7 (Respect for private and family life)</w:t>
      </w:r>
      <w:r w:rsidRPr="00575E5F">
        <w:rPr>
          <w:lang w:val="en-US"/>
        </w:rPr>
        <w:t xml:space="preserve"> and </w:t>
      </w:r>
      <w:r w:rsidRPr="00575E5F">
        <w:rPr>
          <w:rStyle w:val="Enfasigrassetto"/>
          <w:lang w:val="en-US"/>
        </w:rPr>
        <w:t>Article 8 (Protection of personal data)</w:t>
      </w:r>
      <w:r w:rsidRPr="00575E5F">
        <w:rPr>
          <w:lang w:val="en-US"/>
        </w:rPr>
        <w:t>—which the European Commission has described as including the “fundamental right to encryption”</w:t>
      </w:r>
      <w:r w:rsidRPr="00575E5F">
        <w:rPr>
          <w:lang w:val="en-US"/>
        </w:rPr>
        <w:br/>
        <w:t>No Member State may enact laws that prohibit the use of encryption tools—such as VPN clients, DNS-over</w:t>
      </w:r>
      <w:r w:rsidRPr="00575E5F">
        <w:rPr>
          <w:lang w:val="en-US"/>
        </w:rPr>
        <w:noBreakHyphen/>
        <w:t>HTTPS providers, or end</w:t>
      </w:r>
      <w:r w:rsidRPr="00575E5F">
        <w:rPr>
          <w:lang w:val="en-US"/>
        </w:rPr>
        <w:noBreakHyphen/>
        <w:t>to</w:t>
      </w:r>
      <w:r w:rsidRPr="00575E5F">
        <w:rPr>
          <w:lang w:val="en-US"/>
        </w:rPr>
        <w:noBreakHyphen/>
        <w:t>end messengers—or require vendors or carriers to weaken them. Users must never be forced to decrypt or expose communications as a condition of access.</w:t>
      </w:r>
      <w:r w:rsidRPr="00575E5F">
        <w:rPr>
          <w:lang w:val="en-US"/>
        </w:rPr>
        <w:br/>
        <w:t>No Member State may enact laws that allows government, companies and the EU itself, to access private communication without a noticed, transparent, due process, without a reasonable reason—that has to be proved reasonable by an impartial judicial review—and a warrant—given the ability for the offended party to appeal to it in a fair process and defend itself.</w:t>
      </w:r>
    </w:p>
    <w:p w:rsidR="00690DB1" w:rsidRPr="00575E5F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575E5F">
        <w:rPr>
          <w:rStyle w:val="Titolo2Carattere"/>
          <w:lang w:val="en-US"/>
        </w:rPr>
        <w:t>No DNS/IP Takedowns Based Solely on Private Copyright Claims</w:t>
      </w:r>
      <w:r w:rsidRPr="00575E5F">
        <w:rPr>
          <w:lang w:val="en-US"/>
        </w:rPr>
        <w:br/>
        <w:t xml:space="preserve">Require that any DNS or IP-level blocking in the EU occurs only after impartial judicial review—not at the request of private parties—and that it respects transparency, notice, and </w:t>
      </w:r>
      <w:r w:rsidRPr="00575E5F">
        <w:rPr>
          <w:lang w:val="en-US"/>
        </w:rPr>
        <w:lastRenderedPageBreak/>
        <w:t>remedies.</w:t>
      </w:r>
      <w:r w:rsidRPr="00575E5F">
        <w:rPr>
          <w:lang w:val="en-US"/>
        </w:rPr>
        <w:br/>
        <w:t xml:space="preserve">Aligned with </w:t>
      </w:r>
      <w:r w:rsidRPr="00575E5F">
        <w:rPr>
          <w:rStyle w:val="Enfasigrassetto"/>
          <w:lang w:val="en-US"/>
        </w:rPr>
        <w:t>Article 9 of the Digital Services Act (Regulation EU 2022/2065)</w:t>
      </w:r>
      <w:r w:rsidRPr="00575E5F">
        <w:rPr>
          <w:lang w:val="en-US"/>
        </w:rPr>
        <w:t xml:space="preserve">, which limits emergency blocking measures to cases where </w:t>
      </w:r>
      <w:r w:rsidRPr="00575E5F">
        <w:rPr>
          <w:rStyle w:val="Enfasigrassetto"/>
          <w:lang w:val="en-US"/>
        </w:rPr>
        <w:t>public authorities or courts issue orders</w:t>
      </w:r>
      <w:r w:rsidRPr="00575E5F">
        <w:rPr>
          <w:lang w:val="en-US"/>
        </w:rPr>
        <w:t xml:space="preserve">, and mandates </w:t>
      </w:r>
      <w:r w:rsidRPr="00575E5F">
        <w:rPr>
          <w:rStyle w:val="Enfasigrassetto"/>
          <w:lang w:val="en-US"/>
        </w:rPr>
        <w:t>prior notice to users</w:t>
      </w:r>
      <w:r w:rsidRPr="00575E5F">
        <w:rPr>
          <w:lang w:val="en-US"/>
        </w:rPr>
        <w:t xml:space="preserve">, </w:t>
      </w:r>
      <w:r w:rsidRPr="00575E5F">
        <w:rPr>
          <w:rStyle w:val="Enfasigrassetto"/>
          <w:lang w:val="en-US"/>
        </w:rPr>
        <w:t>proportionate targeting</w:t>
      </w:r>
      <w:r w:rsidRPr="00575E5F">
        <w:rPr>
          <w:lang w:val="en-US"/>
        </w:rPr>
        <w:t>, and public justification.</w:t>
      </w:r>
      <w:r w:rsidRPr="00575E5F">
        <w:rPr>
          <w:lang w:val="en-US"/>
        </w:rPr>
        <w:br/>
        <w:t xml:space="preserve">Consistent with the </w:t>
      </w:r>
      <w:r w:rsidRPr="00575E5F">
        <w:rPr>
          <w:rStyle w:val="Enfasigrassetto"/>
          <w:lang w:val="en-US"/>
        </w:rPr>
        <w:t>Copyright Directive (2019/790)</w:t>
      </w:r>
      <w:r w:rsidRPr="00575E5F">
        <w:rPr>
          <w:lang w:val="en-US"/>
        </w:rPr>
        <w:t xml:space="preserve">, particularly </w:t>
      </w:r>
      <w:r w:rsidRPr="00575E5F">
        <w:rPr>
          <w:rStyle w:val="Enfasigrassetto"/>
          <w:lang w:val="en-US"/>
        </w:rPr>
        <w:t>Article 23</w:t>
      </w:r>
      <w:r w:rsidRPr="00575E5F">
        <w:rPr>
          <w:lang w:val="en-US"/>
        </w:rPr>
        <w:t xml:space="preserve"> (treated as part of </w:t>
      </w:r>
      <w:r w:rsidRPr="00575E5F">
        <w:rPr>
          <w:rStyle w:val="Enfasigrassetto"/>
          <w:lang w:val="en-US"/>
        </w:rPr>
        <w:t>Directive 2001/29/EC Article 8(3)</w:t>
      </w:r>
      <w:r w:rsidRPr="00575E5F">
        <w:rPr>
          <w:lang w:val="en-US"/>
        </w:rPr>
        <w:t xml:space="preserve"> and </w:t>
      </w:r>
      <w:r w:rsidRPr="00575E5F">
        <w:rPr>
          <w:rStyle w:val="Enfasigrassetto"/>
          <w:lang w:val="en-US"/>
        </w:rPr>
        <w:t>Enforcement Directive 2004/48 Article 3</w:t>
      </w:r>
      <w:r w:rsidRPr="00575E5F">
        <w:rPr>
          <w:lang w:val="en-US"/>
        </w:rPr>
        <w:t xml:space="preserve">), which directs Member States to provide injunctions </w:t>
      </w:r>
      <w:r w:rsidRPr="00575E5F">
        <w:rPr>
          <w:rStyle w:val="Enfasigrassetto"/>
          <w:lang w:val="en-US"/>
        </w:rPr>
        <w:t>only via judicial bodies</w:t>
      </w:r>
      <w:r w:rsidRPr="00575E5F">
        <w:rPr>
          <w:lang w:val="en-US"/>
        </w:rPr>
        <w:t>, and prohibits ex</w:t>
      </w:r>
      <w:r w:rsidRPr="00575E5F">
        <w:rPr>
          <w:lang w:val="en-US"/>
        </w:rPr>
        <w:noBreakHyphen/>
        <w:t xml:space="preserve">parte blocking based on private claims alone—for exactly the reasons stated by the CJEU in cases such as Scarlet, </w:t>
      </w:r>
      <w:proofErr w:type="spellStart"/>
      <w:r w:rsidRPr="00575E5F">
        <w:rPr>
          <w:lang w:val="en-US"/>
        </w:rPr>
        <w:t>Netlog</w:t>
      </w:r>
      <w:proofErr w:type="spellEnd"/>
      <w:r w:rsidRPr="00575E5F">
        <w:rPr>
          <w:lang w:val="en-US"/>
        </w:rPr>
        <w:t xml:space="preserve">, and </w:t>
      </w:r>
      <w:proofErr w:type="spellStart"/>
      <w:r w:rsidRPr="00575E5F">
        <w:rPr>
          <w:lang w:val="en-US"/>
        </w:rPr>
        <w:t>Telekabel</w:t>
      </w:r>
      <w:proofErr w:type="spellEnd"/>
      <w:r w:rsidRPr="00575E5F">
        <w:rPr>
          <w:lang w:val="en-US"/>
        </w:rPr>
        <w:br/>
        <w:t xml:space="preserve">It’s also requested that </w:t>
      </w:r>
      <w:r w:rsidRPr="00575E5F">
        <w:rPr>
          <w:b/>
          <w:lang w:val="en-US"/>
        </w:rPr>
        <w:t>Takedowns must</w:t>
      </w:r>
      <w:r w:rsidRPr="00575E5F">
        <w:rPr>
          <w:lang w:val="en-US"/>
        </w:rPr>
        <w:t>:</w:t>
      </w:r>
    </w:p>
    <w:p w:rsidR="00690DB1" w:rsidRPr="001655B2" w:rsidRDefault="00690DB1" w:rsidP="00690DB1">
      <w:pPr>
        <w:pStyle w:val="NormaleWeb"/>
        <w:numPr>
          <w:ilvl w:val="1"/>
          <w:numId w:val="3"/>
        </w:numPr>
        <w:rPr>
          <w:lang w:val="en-US"/>
        </w:rPr>
      </w:pPr>
      <w:r w:rsidRPr="001655B2">
        <w:rPr>
          <w:lang w:val="en-US"/>
        </w:rPr>
        <w:t xml:space="preserve">Originate from an </w:t>
      </w:r>
      <w:r w:rsidRPr="001655B2">
        <w:rPr>
          <w:rStyle w:val="Enfasigrassetto"/>
          <w:lang w:val="en-US"/>
        </w:rPr>
        <w:t>authorized public or judicial order</w:t>
      </w:r>
      <w:r w:rsidRPr="001655B2">
        <w:rPr>
          <w:lang w:val="en-US"/>
        </w:rPr>
        <w:t>, not copyright holders;</w:t>
      </w:r>
    </w:p>
    <w:p w:rsidR="00690DB1" w:rsidRPr="001655B2" w:rsidRDefault="00690DB1" w:rsidP="00690DB1">
      <w:pPr>
        <w:pStyle w:val="NormaleWeb"/>
        <w:numPr>
          <w:ilvl w:val="1"/>
          <w:numId w:val="3"/>
        </w:numPr>
        <w:rPr>
          <w:lang w:val="en-US"/>
        </w:rPr>
      </w:pPr>
      <w:r w:rsidRPr="001655B2">
        <w:rPr>
          <w:lang w:val="en-US"/>
        </w:rPr>
        <w:t xml:space="preserve">Include </w:t>
      </w:r>
      <w:r w:rsidRPr="001655B2">
        <w:rPr>
          <w:rStyle w:val="Enfasigrassetto"/>
          <w:lang w:val="en-US"/>
        </w:rPr>
        <w:t>written notice</w:t>
      </w:r>
      <w:r w:rsidRPr="001655B2">
        <w:rPr>
          <w:lang w:val="en-US"/>
        </w:rPr>
        <w:t xml:space="preserve"> to the affected party;</w:t>
      </w:r>
    </w:p>
    <w:p w:rsidR="00690DB1" w:rsidRPr="001655B2" w:rsidRDefault="00690DB1" w:rsidP="00690DB1">
      <w:pPr>
        <w:pStyle w:val="NormaleWeb"/>
        <w:numPr>
          <w:ilvl w:val="1"/>
          <w:numId w:val="3"/>
        </w:numPr>
        <w:rPr>
          <w:lang w:val="en-US"/>
        </w:rPr>
      </w:pPr>
      <w:r w:rsidRPr="001655B2">
        <w:rPr>
          <w:lang w:val="en-US"/>
        </w:rPr>
        <w:t xml:space="preserve">Be </w:t>
      </w:r>
      <w:r w:rsidRPr="001655B2">
        <w:rPr>
          <w:rStyle w:val="Enfasigrassetto"/>
          <w:lang w:val="en-US"/>
        </w:rPr>
        <w:t>disproportionate</w:t>
      </w:r>
      <w:r w:rsidRPr="001655B2">
        <w:rPr>
          <w:lang w:val="en-US"/>
        </w:rPr>
        <w:t>, targeting specific infringing content—not entire domains or IP ranges;</w:t>
      </w:r>
    </w:p>
    <w:p w:rsidR="00690DB1" w:rsidRPr="001655B2" w:rsidRDefault="00690DB1" w:rsidP="00690DB1">
      <w:pPr>
        <w:pStyle w:val="NormaleWeb"/>
        <w:numPr>
          <w:ilvl w:val="1"/>
          <w:numId w:val="3"/>
        </w:numPr>
        <w:rPr>
          <w:lang w:val="en-US"/>
        </w:rPr>
      </w:pPr>
      <w:r w:rsidRPr="001655B2">
        <w:rPr>
          <w:lang w:val="en-US"/>
        </w:rPr>
        <w:t xml:space="preserve">In the case of foreign claims, be enforceable </w:t>
      </w:r>
      <w:r w:rsidRPr="001655B2">
        <w:rPr>
          <w:rStyle w:val="Enfasigrassetto"/>
          <w:lang w:val="en-US"/>
        </w:rPr>
        <w:t>only if recognized in EU law</w:t>
      </w:r>
      <w:r w:rsidRPr="001655B2">
        <w:rPr>
          <w:lang w:val="en-US"/>
        </w:rPr>
        <w:t>, preceded by due process.</w:t>
      </w:r>
    </w:p>
    <w:p w:rsidR="00690DB1" w:rsidRPr="001655B2" w:rsidRDefault="00690DB1" w:rsidP="00690DB1">
      <w:pPr>
        <w:pStyle w:val="NormaleWeb"/>
        <w:numPr>
          <w:ilvl w:val="0"/>
          <w:numId w:val="2"/>
        </w:numPr>
        <w:rPr>
          <w:lang w:val="en-US"/>
        </w:rPr>
      </w:pPr>
      <w:r w:rsidRPr="001655B2">
        <w:rPr>
          <w:rStyle w:val="Titolo2Carattere"/>
          <w:lang w:val="en-US"/>
        </w:rPr>
        <w:t>Explicit Legal Immunity for VPN, DNS &amp; Encryption Services</w:t>
      </w:r>
      <w:r w:rsidRPr="001655B2">
        <w:rPr>
          <w:rStyle w:val="Titolo2Carattere"/>
          <w:lang w:val="en-US"/>
        </w:rPr>
        <w:br/>
      </w:r>
      <w:r w:rsidRPr="001655B2">
        <w:rPr>
          <w:lang w:val="en-US"/>
        </w:rPr>
        <w:t>Affirm that providers of VPNs, public DNS resolvers, and encryption tools have legal protection from liability for content routed through their systems and cannot be forced into censorship roles.</w:t>
      </w:r>
      <w:r w:rsidRPr="001655B2">
        <w:rPr>
          <w:lang w:val="en-US"/>
        </w:rPr>
        <w:br/>
      </w:r>
      <w:r w:rsidRPr="001655B2">
        <w:rPr>
          <w:rStyle w:val="relative"/>
          <w:lang w:val="en-US"/>
        </w:rPr>
        <w:t xml:space="preserve">Echoes the </w:t>
      </w:r>
      <w:r w:rsidRPr="001655B2">
        <w:rPr>
          <w:rStyle w:val="Enfasigrassetto"/>
          <w:lang w:val="en-US"/>
        </w:rPr>
        <w:t>safe</w:t>
      </w:r>
      <w:r w:rsidRPr="001655B2">
        <w:rPr>
          <w:rStyle w:val="Enfasigrassetto"/>
          <w:lang w:val="en-US"/>
        </w:rPr>
        <w:noBreakHyphen/>
        <w:t>harbor regime of Directive 2000/31/EC (“e</w:t>
      </w:r>
      <w:r w:rsidRPr="001655B2">
        <w:rPr>
          <w:rStyle w:val="Enfasigrassetto"/>
          <w:lang w:val="en-US"/>
        </w:rPr>
        <w:noBreakHyphen/>
        <w:t>Commerce Directive”)</w:t>
      </w:r>
      <w:r w:rsidRPr="001655B2">
        <w:rPr>
          <w:rStyle w:val="relative"/>
          <w:lang w:val="en-US"/>
        </w:rPr>
        <w:t xml:space="preserve">, in which </w:t>
      </w:r>
      <w:r w:rsidRPr="001655B2">
        <w:rPr>
          <w:rStyle w:val="Enfasigrassetto"/>
          <w:lang w:val="en-US"/>
        </w:rPr>
        <w:t>Article 14</w:t>
      </w:r>
      <w:r w:rsidRPr="001655B2">
        <w:rPr>
          <w:rStyle w:val="relative"/>
          <w:lang w:val="en-US"/>
        </w:rPr>
        <w:t xml:space="preserve"> shields hosting and mere</w:t>
      </w:r>
      <w:r w:rsidRPr="001655B2">
        <w:rPr>
          <w:rStyle w:val="relative"/>
          <w:lang w:val="en-US"/>
        </w:rPr>
        <w:noBreakHyphen/>
        <w:t xml:space="preserve">conduit providers from liability if they lack actual knowledge or act expeditiously upon notice—and </w:t>
      </w:r>
      <w:r w:rsidRPr="001655B2">
        <w:rPr>
          <w:rStyle w:val="Enfasigrassetto"/>
          <w:lang w:val="en-US"/>
        </w:rPr>
        <w:t>Article 15</w:t>
      </w:r>
      <w:r w:rsidRPr="001655B2">
        <w:rPr>
          <w:rStyle w:val="relative"/>
          <w:lang w:val="en-US"/>
        </w:rPr>
        <w:t xml:space="preserve"> prohibits general monitoring requirements, meaning no obligation to inspect traffic or filter data (e.g. universal IP or DNS scanning).</w:t>
      </w:r>
      <w:r w:rsidRPr="001655B2">
        <w:rPr>
          <w:rStyle w:val="relative"/>
          <w:lang w:val="en-US"/>
        </w:rPr>
        <w:br/>
      </w:r>
      <w:r w:rsidRPr="001655B2">
        <w:rPr>
          <w:lang w:val="en-US"/>
        </w:rPr>
        <w:t xml:space="preserve">Reiterated and refined by the </w:t>
      </w:r>
      <w:r w:rsidRPr="001655B2">
        <w:rPr>
          <w:rStyle w:val="Enfasigrassetto"/>
          <w:lang w:val="en-US"/>
        </w:rPr>
        <w:t>Digital Services Act</w:t>
      </w:r>
      <w:r w:rsidRPr="001655B2">
        <w:rPr>
          <w:lang w:val="en-US"/>
        </w:rPr>
        <w:t xml:space="preserve">, which preserves intermediary immunity for </w:t>
      </w:r>
      <w:r w:rsidRPr="001655B2">
        <w:rPr>
          <w:rStyle w:val="Enfasigrassetto"/>
          <w:lang w:val="en-US"/>
        </w:rPr>
        <w:t>“providers of mere conduit or access or caching or hosting”</w:t>
      </w:r>
      <w:r w:rsidRPr="001655B2">
        <w:rPr>
          <w:lang w:val="en-US"/>
        </w:rPr>
        <w:t>, again barring national or private impositions on their neutrality or forcing them to act as platforms or filters.</w:t>
      </w:r>
      <w:r w:rsidRPr="001655B2">
        <w:rPr>
          <w:lang w:val="en-US"/>
        </w:rPr>
        <w:br/>
        <w:t xml:space="preserve">Also protected under </w:t>
      </w:r>
      <w:r w:rsidRPr="001655B2">
        <w:rPr>
          <w:rStyle w:val="Enfasigrassetto"/>
          <w:lang w:val="en-US"/>
        </w:rPr>
        <w:t>Charter Articles 7 and 8</w:t>
      </w:r>
      <w:r w:rsidRPr="001655B2">
        <w:rPr>
          <w:lang w:val="en-US"/>
        </w:rPr>
        <w:t>, because forcing encryption tools to act as surveillance gateways would violate both privacy rights and data</w:t>
      </w:r>
      <w:r w:rsidRPr="001655B2">
        <w:rPr>
          <w:lang w:val="en-US"/>
        </w:rPr>
        <w:noBreakHyphen/>
        <w:t>protection principles. Prevent exceptions for artificial intelligence profiling or metadata scanning.</w:t>
      </w:r>
    </w:p>
    <w:p w:rsidR="00690DB1" w:rsidRPr="001655B2" w:rsidRDefault="00690DB1" w:rsidP="00690DB1">
      <w:pPr>
        <w:pStyle w:val="NormaleWeb"/>
        <w:rPr>
          <w:lang w:val="en-US"/>
        </w:rPr>
      </w:pPr>
      <w:r w:rsidRPr="001655B2">
        <w:rPr>
          <w:lang w:val="en-US"/>
        </w:rPr>
        <w:t>We then ask the EU to register this ECI by 01/10/2025 and to ensure that the laws are made and amended before the start of 2026.</w:t>
      </w:r>
    </w:p>
    <w:p w:rsidR="00690DB1" w:rsidRDefault="00690DB1" w:rsidP="00690DB1">
      <w:pPr>
        <w:pStyle w:val="NormaleWeb"/>
        <w:rPr>
          <w:lang w:val="en-US"/>
        </w:rPr>
      </w:pPr>
      <w:r w:rsidRPr="001655B2">
        <w:rPr>
          <w:lang w:val="en-US"/>
        </w:rPr>
        <w:t>By enshrining these principles in EU law, we’ll safeguard our digital rights, bolster security, and keep the web open, free—and inconvenient for censors, both politically and economically.</w:t>
      </w:r>
      <w:r w:rsidRPr="001655B2">
        <w:rPr>
          <w:lang w:val="en-US"/>
        </w:rPr>
        <w:br/>
        <w:t>The open web isn’t just a luxury: it’s the backbone of democracy, innovation and security. Let’s ensure EU laws protect—not punish—our right to connect, share, and create</w:t>
      </w:r>
      <w:r>
        <w:rPr>
          <w:lang w:val="en-US"/>
        </w:rPr>
        <w:t>.</w:t>
      </w:r>
    </w:p>
    <w:p w:rsidR="003B6685" w:rsidRPr="00690DB1" w:rsidRDefault="003B6685" w:rsidP="00690DB1">
      <w:bookmarkStart w:id="0" w:name="_GoBack"/>
      <w:bookmarkEnd w:id="0"/>
    </w:p>
    <w:sectPr w:rsidR="003B6685" w:rsidRPr="00690D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48B"/>
    <w:multiLevelType w:val="multilevel"/>
    <w:tmpl w:val="7220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97CC6"/>
    <w:multiLevelType w:val="multilevel"/>
    <w:tmpl w:val="2EBA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92D8D"/>
    <w:multiLevelType w:val="multilevel"/>
    <w:tmpl w:val="86EC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0B"/>
    <w:rsid w:val="00062F0B"/>
    <w:rsid w:val="003B6685"/>
    <w:rsid w:val="006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B44C4-E345-4119-9787-A68BC3EA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0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2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06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062F0B"/>
    <w:rPr>
      <w:b/>
      <w:bCs/>
    </w:rPr>
  </w:style>
  <w:style w:type="character" w:styleId="Enfasicorsivo">
    <w:name w:val="Emphasis"/>
    <w:basedOn w:val="Carpredefinitoparagrafo"/>
    <w:uiPriority w:val="20"/>
    <w:qFormat/>
    <w:rsid w:val="00062F0B"/>
    <w:rPr>
      <w:i/>
      <w:iCs/>
    </w:rPr>
  </w:style>
  <w:style w:type="character" w:customStyle="1" w:styleId="relative">
    <w:name w:val="relative"/>
    <w:basedOn w:val="Carpredefinitoparagrafo"/>
    <w:rsid w:val="00062F0B"/>
  </w:style>
  <w:style w:type="character" w:customStyle="1" w:styleId="Titolo2Carattere">
    <w:name w:val="Titolo 2 Carattere"/>
    <w:basedOn w:val="Carpredefinitoparagrafo"/>
    <w:link w:val="Titolo2"/>
    <w:uiPriority w:val="9"/>
    <w:rsid w:val="00690D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69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BIGOLARO</dc:creator>
  <cp:keywords/>
  <dc:description/>
  <cp:lastModifiedBy>Sem BIGOLARO</cp:lastModifiedBy>
  <cp:revision>2</cp:revision>
  <cp:lastPrinted>2025-08-03T15:29:00Z</cp:lastPrinted>
  <dcterms:created xsi:type="dcterms:W3CDTF">2025-08-03T15:30:00Z</dcterms:created>
  <dcterms:modified xsi:type="dcterms:W3CDTF">2025-08-03T15:30:00Z</dcterms:modified>
</cp:coreProperties>
</file>