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La administración de perfiles de usuario permite acceder a distintos usuarios con diversos niveles de privilegios. Al emplear el gestor de perfiles de usuario, es posible asignar funciones específicas a usuarios individuales, otorgándoles permisos particulares.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La capacidad de asignar permisos basados en funciones minimiza el riesgo de accesos no autorizados.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Un perfil de usuario incluye información relacionada con la seguridad que controla cómo el usuario inicia sesión en el sistema, sus acciones post-inicio de sesión, y cómo se registran y auditan dichas acciones.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color w:val="161616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8"/>
          <w:szCs w:val="28"/>
          <w:highlight w:val="white"/>
          <w:rtl w:val="0"/>
        </w:rPr>
        <w:t xml:space="preserve">Consideraciones al planificar perfiles de usuario: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highlight w:val="white"/>
          <w:rtl w:val="0"/>
        </w:rPr>
        <w:t xml:space="preserve">Denominación de Perfiles de Usuario: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   Definir nombres significativos para los perfiles.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highlight w:val="white"/>
          <w:rtl w:val="0"/>
        </w:rPr>
        <w:t xml:space="preserve">Responsabilidades Asignadas a Usuarios Individuales: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  Especificar las responsabilidades asignadas a cada usuario.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highlight w:val="white"/>
          <w:rtl w:val="0"/>
        </w:rPr>
        <w:t xml:space="preserve">Valores para Cada Usuario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 Establecer valores y atributos específicos para cada usuario.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Funciones de Gestión para Usuarios y Funciones: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   Agregar un usuario.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   Eliminar un usuario.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   Cambiar la contraseña de un usuario.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   Asignar un usuario a una función.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   Eliminar a un usuario de una función.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   Asignar una función a un usuario.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   Eliminar una función de un usuario.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En nuestro proyecto, existen 2 tipos de usuarios: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Administrativo: Es el que puede tener acceso a el registro de los estudiantes para realizar estas tareas: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Alta estudiantes o funcionarios.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Baja estudiantes o funcionarios.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Modificar estudiantes o funcionarios.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highlight w:val="white"/>
          <w:rtl w:val="0"/>
        </w:rPr>
        <w:t xml:space="preserve">Usuario con acceso restringido(Director,administrativos,etc): Es el que solo puede ver a los datos de estudiantes, administrativos y también puede ver los horarios que de entrada, no va a poder dar de alta,baja y tampoco modificar. </w:t>
      </w:r>
    </w:p>
    <w:p w:rsidR="00000000" w:rsidDel="00000000" w:rsidP="00000000" w:rsidRDefault="00000000" w:rsidRPr="00000000" w14:paraId="00000025">
      <w:pPr>
        <w:ind w:left="0" w:firstLine="0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