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2C184" w14:textId="77777777" w:rsidR="00D650E2" w:rsidRPr="00101041" w:rsidRDefault="00101041" w:rsidP="00101041">
      <w:pPr>
        <w:jc w:val="center"/>
        <w:rPr>
          <w:b/>
          <w:sz w:val="28"/>
        </w:rPr>
      </w:pPr>
      <w:r w:rsidRPr="00101041">
        <w:rPr>
          <w:b/>
          <w:sz w:val="28"/>
        </w:rPr>
        <w:t>Using Form ADV Data</w:t>
      </w:r>
    </w:p>
    <w:p w14:paraId="75A6D39F" w14:textId="77777777" w:rsidR="00101041" w:rsidRPr="00101041" w:rsidRDefault="00101041" w:rsidP="00101041">
      <w:pPr>
        <w:jc w:val="center"/>
        <w:rPr>
          <w:b/>
          <w:sz w:val="28"/>
        </w:rPr>
      </w:pPr>
      <w:r w:rsidRPr="00101041">
        <w:rPr>
          <w:b/>
          <w:sz w:val="28"/>
        </w:rPr>
        <w:t xml:space="preserve">To Predict if Financial Advice </w:t>
      </w:r>
    </w:p>
    <w:p w14:paraId="1C115F78" w14:textId="77777777" w:rsidR="00101041" w:rsidRPr="00101041" w:rsidRDefault="00101041" w:rsidP="00101041">
      <w:pPr>
        <w:jc w:val="center"/>
        <w:rPr>
          <w:b/>
          <w:sz w:val="28"/>
        </w:rPr>
      </w:pPr>
      <w:r w:rsidRPr="00101041">
        <w:rPr>
          <w:b/>
          <w:sz w:val="28"/>
        </w:rPr>
        <w:t>Received will be Conflicted</w:t>
      </w:r>
    </w:p>
    <w:p w14:paraId="618836DD" w14:textId="77777777" w:rsidR="00101041" w:rsidRPr="00101041" w:rsidRDefault="00101041" w:rsidP="00101041">
      <w:pPr>
        <w:jc w:val="center"/>
      </w:pPr>
    </w:p>
    <w:p w14:paraId="41ADA5EF" w14:textId="77777777" w:rsidR="00101041" w:rsidRDefault="00101041" w:rsidP="00101041">
      <w:pPr>
        <w:pStyle w:val="ListParagraph"/>
        <w:numPr>
          <w:ilvl w:val="0"/>
          <w:numId w:val="1"/>
        </w:numPr>
        <w:rPr>
          <w:b/>
        </w:rPr>
      </w:pPr>
      <w:r w:rsidRPr="00101041">
        <w:rPr>
          <w:b/>
        </w:rPr>
        <w:t>Introduction and Background</w:t>
      </w:r>
    </w:p>
    <w:p w14:paraId="3DC3A002" w14:textId="77777777" w:rsidR="00101041" w:rsidRPr="00101041" w:rsidRDefault="00101041" w:rsidP="00101041">
      <w:pPr>
        <w:rPr>
          <w:b/>
        </w:rPr>
      </w:pPr>
    </w:p>
    <w:p w14:paraId="14DE52EF" w14:textId="77777777" w:rsidR="00101041" w:rsidRDefault="00101041" w:rsidP="00101041">
      <w:pPr>
        <w:widowControl w:val="0"/>
        <w:tabs>
          <w:tab w:val="left" w:pos="220"/>
          <w:tab w:val="left" w:pos="720"/>
        </w:tabs>
        <w:autoSpaceDE w:val="0"/>
        <w:autoSpaceDN w:val="0"/>
        <w:adjustRightInd w:val="0"/>
        <w:rPr>
          <w:rFonts w:cs="Arial"/>
          <w:color w:val="262626"/>
        </w:rPr>
      </w:pPr>
      <w:r>
        <w:rPr>
          <w:rFonts w:cs="Arial"/>
          <w:color w:val="262626"/>
        </w:rPr>
        <w:t>As part of regulatory requirements for registered investment advisors (RIA), t</w:t>
      </w:r>
      <w:r w:rsidRPr="00101041">
        <w:rPr>
          <w:rFonts w:cs="Arial"/>
          <w:color w:val="262626"/>
        </w:rPr>
        <w:t>he SEC collects information including criteria such as products and services offered, assets under management, disciplinary actions against them.</w:t>
      </w:r>
      <w:r>
        <w:rPr>
          <w:rFonts w:cs="Arial"/>
          <w:color w:val="262626"/>
        </w:rPr>
        <w:t xml:space="preserve">  This information is collected by the SEC and must be disclosed to the public in the Form ADV </w:t>
      </w:r>
      <w:r w:rsidR="007937AF">
        <w:rPr>
          <w:rFonts w:cs="Arial"/>
          <w:color w:val="262626"/>
        </w:rPr>
        <w:t>filed annually by RIAs.</w:t>
      </w:r>
    </w:p>
    <w:p w14:paraId="30204503" w14:textId="77777777" w:rsidR="007937AF" w:rsidRDefault="007937AF" w:rsidP="00101041">
      <w:pPr>
        <w:widowControl w:val="0"/>
        <w:tabs>
          <w:tab w:val="left" w:pos="220"/>
          <w:tab w:val="left" w:pos="720"/>
        </w:tabs>
        <w:autoSpaceDE w:val="0"/>
        <w:autoSpaceDN w:val="0"/>
        <w:adjustRightInd w:val="0"/>
        <w:rPr>
          <w:rFonts w:cs="Arial"/>
          <w:color w:val="262626"/>
        </w:rPr>
      </w:pPr>
    </w:p>
    <w:p w14:paraId="7EC472D7" w14:textId="0ADC80F7" w:rsidR="007937AF" w:rsidRDefault="007937AF" w:rsidP="007937AF">
      <w:pPr>
        <w:contextualSpacing/>
        <w:rPr>
          <w:rFonts w:eastAsia="+mn-ea" w:cs="Arial"/>
          <w:color w:val="000000"/>
          <w:kern w:val="24"/>
        </w:rPr>
      </w:pPr>
      <w:r w:rsidRPr="007937AF">
        <w:rPr>
          <w:rFonts w:eastAsia="+mn-ea" w:cs="Arial"/>
          <w:color w:val="000000"/>
          <w:kern w:val="24"/>
        </w:rPr>
        <w:t>Form ADV is the uniform form used by investment advisers to register with both the Securities and Exchange Commission (SEC) and state securities authorities. Th</w:t>
      </w:r>
      <w:r w:rsidR="00A07B43">
        <w:rPr>
          <w:rFonts w:eastAsia="+mn-ea" w:cs="Arial"/>
          <w:color w:val="000000"/>
          <w:kern w:val="24"/>
        </w:rPr>
        <w:t>e form consists of two parts:</w:t>
      </w:r>
    </w:p>
    <w:p w14:paraId="5A36FEDE" w14:textId="77777777" w:rsidR="007937AF" w:rsidRDefault="007937AF" w:rsidP="007937AF">
      <w:pPr>
        <w:contextualSpacing/>
        <w:rPr>
          <w:rFonts w:eastAsia="+mn-ea" w:cs="Arial"/>
          <w:color w:val="000000"/>
          <w:kern w:val="24"/>
        </w:rPr>
      </w:pPr>
    </w:p>
    <w:p w14:paraId="14F8B64D" w14:textId="485814C1" w:rsidR="00A07B43" w:rsidRPr="00A07B43" w:rsidRDefault="00A07B43" w:rsidP="00A07B43">
      <w:pPr>
        <w:numPr>
          <w:ilvl w:val="0"/>
          <w:numId w:val="4"/>
        </w:numPr>
        <w:contextualSpacing/>
        <w:rPr>
          <w:rFonts w:eastAsia="+mn-ea" w:cs="Arial"/>
          <w:color w:val="000000"/>
          <w:kern w:val="24"/>
        </w:rPr>
      </w:pPr>
      <w:r>
        <w:rPr>
          <w:rFonts w:eastAsia="+mn-ea" w:cs="Arial"/>
          <w:b/>
          <w:bCs/>
          <w:color w:val="000000"/>
          <w:kern w:val="24"/>
        </w:rPr>
        <w:t xml:space="preserve">Form ADV </w:t>
      </w:r>
      <w:r w:rsidRPr="00A07B43">
        <w:rPr>
          <w:rFonts w:eastAsia="+mn-ea" w:cs="Arial"/>
          <w:b/>
          <w:bCs/>
          <w:color w:val="000000"/>
          <w:kern w:val="24"/>
        </w:rPr>
        <w:t xml:space="preserve">Part 1 </w:t>
      </w:r>
      <w:r w:rsidRPr="00A07B43">
        <w:rPr>
          <w:rFonts w:eastAsia="+mn-ea" w:cs="Arial"/>
          <w:color w:val="000000"/>
          <w:kern w:val="24"/>
        </w:rPr>
        <w:t>requires information about the investment adviser’s business, ownership, clients, employees, business practices, affiliations, and any disciplinary events of the adviser or its employees. Part 1 is organized in a check-the-box, fill-in-the-blank format.</w:t>
      </w:r>
    </w:p>
    <w:p w14:paraId="24765E5F" w14:textId="76210BF9" w:rsidR="00A07B43" w:rsidRDefault="00A07B43" w:rsidP="00A07B43">
      <w:pPr>
        <w:numPr>
          <w:ilvl w:val="0"/>
          <w:numId w:val="4"/>
        </w:numPr>
        <w:contextualSpacing/>
        <w:rPr>
          <w:rFonts w:eastAsia="+mn-ea" w:cs="Arial"/>
          <w:color w:val="000000"/>
          <w:kern w:val="24"/>
        </w:rPr>
      </w:pPr>
      <w:r>
        <w:rPr>
          <w:rFonts w:eastAsia="+mn-ea" w:cs="Arial"/>
          <w:b/>
          <w:bCs/>
          <w:color w:val="000000"/>
          <w:kern w:val="24"/>
        </w:rPr>
        <w:t xml:space="preserve">Form ADV </w:t>
      </w:r>
      <w:r w:rsidRPr="00A07B43">
        <w:rPr>
          <w:rFonts w:eastAsia="+mn-ea" w:cs="Arial"/>
          <w:b/>
          <w:bCs/>
          <w:color w:val="000000"/>
          <w:kern w:val="24"/>
        </w:rPr>
        <w:t xml:space="preserve">Part 2 </w:t>
      </w:r>
      <w:r w:rsidRPr="00A07B43">
        <w:rPr>
          <w:rFonts w:eastAsia="+mn-ea" w:cs="Arial"/>
          <w:color w:val="000000"/>
          <w:kern w:val="24"/>
        </w:rPr>
        <w:t xml:space="preserve">requires investment advisers to prepare narrative brochures written in plain English that contain information such as the types of advisory services offered, the adviser’s fee schedule, disciplinary information, conflicts of interest, and the educational and business background of management and key advisory personnel of the adviser. </w:t>
      </w:r>
    </w:p>
    <w:p w14:paraId="6CD543D1" w14:textId="77777777" w:rsidR="00A07B43" w:rsidRDefault="00A07B43" w:rsidP="00A07B43">
      <w:pPr>
        <w:contextualSpacing/>
        <w:rPr>
          <w:rFonts w:eastAsia="+mn-ea" w:cs="Arial"/>
          <w:color w:val="000000"/>
          <w:kern w:val="24"/>
        </w:rPr>
      </w:pPr>
    </w:p>
    <w:p w14:paraId="4C97AC93" w14:textId="7B239889" w:rsidR="00A07B43" w:rsidRDefault="007350E3" w:rsidP="00A07B43">
      <w:pPr>
        <w:contextualSpacing/>
        <w:rPr>
          <w:rFonts w:eastAsia="+mn-ea" w:cs="Arial"/>
          <w:color w:val="000000"/>
          <w:kern w:val="24"/>
        </w:rPr>
      </w:pPr>
      <w:r>
        <w:rPr>
          <w:rFonts w:eastAsia="+mn-ea" w:cs="Arial"/>
          <w:b/>
          <w:color w:val="000000"/>
          <w:kern w:val="24"/>
        </w:rPr>
        <w:t xml:space="preserve">Conflicted Advice: </w:t>
      </w:r>
      <w:r w:rsidR="00A07B43">
        <w:rPr>
          <w:rFonts w:eastAsia="+mn-ea" w:cs="Arial"/>
          <w:color w:val="000000"/>
          <w:kern w:val="24"/>
        </w:rPr>
        <w:t xml:space="preserve">Generally speaking, </w:t>
      </w:r>
      <w:r w:rsidR="000E4974">
        <w:rPr>
          <w:rFonts w:eastAsia="+mn-ea" w:cs="Arial"/>
          <w:color w:val="000000"/>
          <w:kern w:val="24"/>
        </w:rPr>
        <w:t xml:space="preserve">RIAs are legally obligated to deliver financial advice in the best interest of investors, or under </w:t>
      </w:r>
      <w:r w:rsidR="005920A0">
        <w:rPr>
          <w:rFonts w:eastAsia="+mn-ea" w:cs="Arial"/>
          <w:color w:val="000000"/>
          <w:kern w:val="24"/>
        </w:rPr>
        <w:t xml:space="preserve">a “fiduciary” standard of care.  However, broker-dealers </w:t>
      </w:r>
      <w:r>
        <w:rPr>
          <w:rFonts w:eastAsia="+mn-ea" w:cs="Arial"/>
          <w:color w:val="000000"/>
          <w:kern w:val="24"/>
        </w:rPr>
        <w:t>(BD)</w:t>
      </w:r>
      <w:r w:rsidR="006A2D92">
        <w:rPr>
          <w:rFonts w:eastAsia="+mn-ea" w:cs="Arial"/>
          <w:color w:val="000000"/>
          <w:kern w:val="24"/>
        </w:rPr>
        <w:t xml:space="preserve"> </w:t>
      </w:r>
      <w:r w:rsidR="005920A0">
        <w:rPr>
          <w:rFonts w:eastAsia="+mn-ea" w:cs="Arial"/>
          <w:color w:val="000000"/>
          <w:kern w:val="24"/>
        </w:rPr>
        <w:t>only need to meet a suitability standard when delivering financial advice.</w:t>
      </w:r>
      <w:r>
        <w:rPr>
          <w:rFonts w:eastAsia="+mn-ea" w:cs="Arial"/>
          <w:color w:val="000000"/>
          <w:kern w:val="24"/>
        </w:rPr>
        <w:t xml:space="preserve">  There </w:t>
      </w:r>
      <w:r w:rsidR="006A2D92">
        <w:rPr>
          <w:rFonts w:eastAsia="+mn-ea" w:cs="Arial"/>
          <w:color w:val="000000"/>
          <w:kern w:val="24"/>
        </w:rPr>
        <w:t xml:space="preserve">also </w:t>
      </w:r>
      <w:r>
        <w:rPr>
          <w:rFonts w:eastAsia="+mn-ea" w:cs="Arial"/>
          <w:color w:val="000000"/>
          <w:kern w:val="24"/>
        </w:rPr>
        <w:t>exist many cases where an RIA is also registered as a BD and can “switch hats” when giving financial advice.</w:t>
      </w:r>
    </w:p>
    <w:p w14:paraId="66F914F2" w14:textId="77777777" w:rsidR="005920A0" w:rsidRDefault="005920A0" w:rsidP="00A07B43">
      <w:pPr>
        <w:contextualSpacing/>
        <w:rPr>
          <w:rFonts w:eastAsia="+mn-ea" w:cs="Arial"/>
          <w:color w:val="000000"/>
          <w:kern w:val="24"/>
        </w:rPr>
      </w:pPr>
    </w:p>
    <w:p w14:paraId="7CA58378" w14:textId="53534ABB" w:rsidR="005920A0" w:rsidRPr="00A07B43" w:rsidRDefault="005920A0" w:rsidP="00A07B43">
      <w:pPr>
        <w:contextualSpacing/>
        <w:rPr>
          <w:rFonts w:eastAsia="+mn-ea" w:cs="Arial"/>
          <w:color w:val="000000"/>
          <w:kern w:val="24"/>
        </w:rPr>
      </w:pPr>
      <w:r>
        <w:rPr>
          <w:rFonts w:ascii="Helvetica" w:hAnsi="Helvetica" w:cs="Helvetica"/>
          <w:noProof/>
          <w:sz w:val="24"/>
          <w:szCs w:val="24"/>
        </w:rPr>
        <w:drawing>
          <wp:anchor distT="0" distB="0" distL="114300" distR="114300" simplePos="0" relativeHeight="251658240" behindDoc="0" locked="0" layoutInCell="1" allowOverlap="1" wp14:anchorId="1541081B" wp14:editId="69E066FD">
            <wp:simplePos x="0" y="0"/>
            <wp:positionH relativeFrom="column">
              <wp:align>center</wp:align>
            </wp:positionH>
            <wp:positionV relativeFrom="paragraph">
              <wp:posOffset>1905</wp:posOffset>
            </wp:positionV>
            <wp:extent cx="4686300" cy="25494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54949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4C2FF0" w14:textId="77777777" w:rsidR="007937AF" w:rsidRPr="007937AF" w:rsidRDefault="007937AF" w:rsidP="007937AF">
      <w:pPr>
        <w:contextualSpacing/>
        <w:rPr>
          <w:rFonts w:eastAsia="+mn-ea" w:cs="Arial"/>
          <w:color w:val="000000"/>
          <w:kern w:val="24"/>
        </w:rPr>
      </w:pPr>
    </w:p>
    <w:p w14:paraId="7B5895E3" w14:textId="77777777" w:rsidR="007937AF" w:rsidRDefault="007937AF" w:rsidP="00101041">
      <w:pPr>
        <w:widowControl w:val="0"/>
        <w:tabs>
          <w:tab w:val="left" w:pos="220"/>
          <w:tab w:val="left" w:pos="720"/>
        </w:tabs>
        <w:autoSpaceDE w:val="0"/>
        <w:autoSpaceDN w:val="0"/>
        <w:adjustRightInd w:val="0"/>
        <w:rPr>
          <w:rFonts w:cs="Arial"/>
          <w:color w:val="262626"/>
        </w:rPr>
      </w:pPr>
    </w:p>
    <w:p w14:paraId="585CF82E" w14:textId="77777777" w:rsidR="00A07B43" w:rsidRDefault="00A07B43" w:rsidP="00101041">
      <w:pPr>
        <w:widowControl w:val="0"/>
        <w:tabs>
          <w:tab w:val="left" w:pos="220"/>
          <w:tab w:val="left" w:pos="720"/>
        </w:tabs>
        <w:autoSpaceDE w:val="0"/>
        <w:autoSpaceDN w:val="0"/>
        <w:adjustRightInd w:val="0"/>
        <w:rPr>
          <w:rFonts w:cs="Arial"/>
          <w:color w:val="262626"/>
        </w:rPr>
      </w:pPr>
    </w:p>
    <w:p w14:paraId="107B11F7" w14:textId="77777777" w:rsidR="00101041" w:rsidRDefault="00101041" w:rsidP="00101041">
      <w:pPr>
        <w:widowControl w:val="0"/>
        <w:tabs>
          <w:tab w:val="left" w:pos="220"/>
          <w:tab w:val="left" w:pos="720"/>
        </w:tabs>
        <w:autoSpaceDE w:val="0"/>
        <w:autoSpaceDN w:val="0"/>
        <w:adjustRightInd w:val="0"/>
        <w:rPr>
          <w:rFonts w:cs="Arial"/>
          <w:color w:val="262626"/>
        </w:rPr>
      </w:pPr>
    </w:p>
    <w:p w14:paraId="5C6CE4CE" w14:textId="77777777" w:rsidR="00101041" w:rsidRDefault="00101041" w:rsidP="00101041">
      <w:pPr>
        <w:widowControl w:val="0"/>
        <w:tabs>
          <w:tab w:val="left" w:pos="220"/>
          <w:tab w:val="left" w:pos="720"/>
        </w:tabs>
        <w:autoSpaceDE w:val="0"/>
        <w:autoSpaceDN w:val="0"/>
        <w:adjustRightInd w:val="0"/>
        <w:rPr>
          <w:rFonts w:cs="Arial"/>
          <w:color w:val="262626"/>
        </w:rPr>
      </w:pPr>
    </w:p>
    <w:p w14:paraId="68FF028E" w14:textId="77777777" w:rsidR="007350E3" w:rsidRDefault="007350E3" w:rsidP="00101041">
      <w:pPr>
        <w:widowControl w:val="0"/>
        <w:tabs>
          <w:tab w:val="left" w:pos="220"/>
          <w:tab w:val="left" w:pos="720"/>
        </w:tabs>
        <w:autoSpaceDE w:val="0"/>
        <w:autoSpaceDN w:val="0"/>
        <w:adjustRightInd w:val="0"/>
        <w:rPr>
          <w:rFonts w:cs="Arial"/>
          <w:color w:val="262626"/>
        </w:rPr>
      </w:pPr>
    </w:p>
    <w:p w14:paraId="1A11F6B4" w14:textId="77777777" w:rsidR="007350E3" w:rsidRDefault="007350E3" w:rsidP="00101041">
      <w:pPr>
        <w:widowControl w:val="0"/>
        <w:tabs>
          <w:tab w:val="left" w:pos="220"/>
          <w:tab w:val="left" w:pos="720"/>
        </w:tabs>
        <w:autoSpaceDE w:val="0"/>
        <w:autoSpaceDN w:val="0"/>
        <w:adjustRightInd w:val="0"/>
        <w:rPr>
          <w:rFonts w:cs="Arial"/>
          <w:color w:val="262626"/>
        </w:rPr>
      </w:pPr>
    </w:p>
    <w:p w14:paraId="3E320732" w14:textId="77777777" w:rsidR="007350E3" w:rsidRDefault="007350E3" w:rsidP="00101041">
      <w:pPr>
        <w:widowControl w:val="0"/>
        <w:tabs>
          <w:tab w:val="left" w:pos="220"/>
          <w:tab w:val="left" w:pos="720"/>
        </w:tabs>
        <w:autoSpaceDE w:val="0"/>
        <w:autoSpaceDN w:val="0"/>
        <w:adjustRightInd w:val="0"/>
        <w:rPr>
          <w:rFonts w:cs="Arial"/>
          <w:color w:val="262626"/>
        </w:rPr>
      </w:pPr>
    </w:p>
    <w:p w14:paraId="204ADEA9" w14:textId="77777777" w:rsidR="007350E3" w:rsidRDefault="007350E3" w:rsidP="00101041">
      <w:pPr>
        <w:widowControl w:val="0"/>
        <w:tabs>
          <w:tab w:val="left" w:pos="220"/>
          <w:tab w:val="left" w:pos="720"/>
        </w:tabs>
        <w:autoSpaceDE w:val="0"/>
        <w:autoSpaceDN w:val="0"/>
        <w:adjustRightInd w:val="0"/>
        <w:rPr>
          <w:rFonts w:cs="Arial"/>
          <w:color w:val="262626"/>
        </w:rPr>
      </w:pPr>
    </w:p>
    <w:p w14:paraId="734CB689" w14:textId="77777777" w:rsidR="007350E3" w:rsidRDefault="007350E3" w:rsidP="00101041">
      <w:pPr>
        <w:widowControl w:val="0"/>
        <w:tabs>
          <w:tab w:val="left" w:pos="220"/>
          <w:tab w:val="left" w:pos="720"/>
        </w:tabs>
        <w:autoSpaceDE w:val="0"/>
        <w:autoSpaceDN w:val="0"/>
        <w:adjustRightInd w:val="0"/>
        <w:rPr>
          <w:rFonts w:cs="Arial"/>
          <w:color w:val="262626"/>
        </w:rPr>
      </w:pPr>
    </w:p>
    <w:p w14:paraId="61038800" w14:textId="77777777" w:rsidR="007350E3" w:rsidRDefault="007350E3" w:rsidP="00101041">
      <w:pPr>
        <w:widowControl w:val="0"/>
        <w:tabs>
          <w:tab w:val="left" w:pos="220"/>
          <w:tab w:val="left" w:pos="720"/>
        </w:tabs>
        <w:autoSpaceDE w:val="0"/>
        <w:autoSpaceDN w:val="0"/>
        <w:adjustRightInd w:val="0"/>
        <w:rPr>
          <w:rFonts w:cs="Arial"/>
          <w:color w:val="262626"/>
        </w:rPr>
      </w:pPr>
    </w:p>
    <w:p w14:paraId="5F8546EF" w14:textId="77777777" w:rsidR="007350E3" w:rsidRDefault="007350E3" w:rsidP="00101041">
      <w:pPr>
        <w:widowControl w:val="0"/>
        <w:tabs>
          <w:tab w:val="left" w:pos="220"/>
          <w:tab w:val="left" w:pos="720"/>
        </w:tabs>
        <w:autoSpaceDE w:val="0"/>
        <w:autoSpaceDN w:val="0"/>
        <w:adjustRightInd w:val="0"/>
        <w:rPr>
          <w:rFonts w:cs="Arial"/>
          <w:color w:val="262626"/>
        </w:rPr>
      </w:pPr>
    </w:p>
    <w:p w14:paraId="16FF1DFC" w14:textId="77777777" w:rsidR="007350E3" w:rsidRDefault="007350E3" w:rsidP="00101041">
      <w:pPr>
        <w:widowControl w:val="0"/>
        <w:tabs>
          <w:tab w:val="left" w:pos="220"/>
          <w:tab w:val="left" w:pos="720"/>
        </w:tabs>
        <w:autoSpaceDE w:val="0"/>
        <w:autoSpaceDN w:val="0"/>
        <w:adjustRightInd w:val="0"/>
        <w:rPr>
          <w:rFonts w:cs="Arial"/>
          <w:color w:val="262626"/>
        </w:rPr>
      </w:pPr>
    </w:p>
    <w:p w14:paraId="542E1A3F" w14:textId="77777777" w:rsidR="007350E3" w:rsidRDefault="007350E3" w:rsidP="00101041">
      <w:pPr>
        <w:widowControl w:val="0"/>
        <w:tabs>
          <w:tab w:val="left" w:pos="220"/>
          <w:tab w:val="left" w:pos="720"/>
        </w:tabs>
        <w:autoSpaceDE w:val="0"/>
        <w:autoSpaceDN w:val="0"/>
        <w:adjustRightInd w:val="0"/>
        <w:rPr>
          <w:rFonts w:cs="Arial"/>
          <w:color w:val="262626"/>
        </w:rPr>
      </w:pPr>
    </w:p>
    <w:p w14:paraId="07B1CA97" w14:textId="77777777" w:rsidR="007350E3" w:rsidRDefault="007350E3" w:rsidP="00101041">
      <w:pPr>
        <w:widowControl w:val="0"/>
        <w:tabs>
          <w:tab w:val="left" w:pos="220"/>
          <w:tab w:val="left" w:pos="720"/>
        </w:tabs>
        <w:autoSpaceDE w:val="0"/>
        <w:autoSpaceDN w:val="0"/>
        <w:adjustRightInd w:val="0"/>
        <w:rPr>
          <w:rFonts w:cs="Arial"/>
          <w:color w:val="262626"/>
        </w:rPr>
      </w:pPr>
    </w:p>
    <w:p w14:paraId="4AB5C551" w14:textId="77777777" w:rsidR="007350E3" w:rsidRDefault="007350E3" w:rsidP="00101041">
      <w:pPr>
        <w:widowControl w:val="0"/>
        <w:tabs>
          <w:tab w:val="left" w:pos="220"/>
          <w:tab w:val="left" w:pos="720"/>
        </w:tabs>
        <w:autoSpaceDE w:val="0"/>
        <w:autoSpaceDN w:val="0"/>
        <w:adjustRightInd w:val="0"/>
        <w:rPr>
          <w:rFonts w:cs="Arial"/>
          <w:color w:val="262626"/>
        </w:rPr>
      </w:pPr>
    </w:p>
    <w:p w14:paraId="033AD3AE" w14:textId="1878CCA2" w:rsidR="007350E3" w:rsidRDefault="007350E3" w:rsidP="00101041">
      <w:pPr>
        <w:widowControl w:val="0"/>
        <w:tabs>
          <w:tab w:val="left" w:pos="220"/>
          <w:tab w:val="left" w:pos="720"/>
        </w:tabs>
        <w:autoSpaceDE w:val="0"/>
        <w:autoSpaceDN w:val="0"/>
        <w:adjustRightInd w:val="0"/>
        <w:rPr>
          <w:rFonts w:cs="Arial"/>
          <w:color w:val="262626"/>
        </w:rPr>
      </w:pPr>
      <w:r>
        <w:rPr>
          <w:rFonts w:cs="Arial"/>
          <w:color w:val="262626"/>
        </w:rPr>
        <w:t xml:space="preserve">What does this mean for investors?  </w:t>
      </w:r>
      <w:r w:rsidR="006A2D92">
        <w:rPr>
          <w:rFonts w:cs="Arial"/>
          <w:color w:val="262626"/>
        </w:rPr>
        <w:t>Advice delivered under</w:t>
      </w:r>
      <w:r>
        <w:rPr>
          <w:rFonts w:cs="Arial"/>
          <w:color w:val="262626"/>
        </w:rPr>
        <w:t xml:space="preserve"> </w:t>
      </w:r>
      <w:r w:rsidR="006A2D92">
        <w:rPr>
          <w:rFonts w:cs="Arial"/>
          <w:color w:val="262626"/>
        </w:rPr>
        <w:t xml:space="preserve">a fiduciary standard is the highest standard an investor can receive, whereas advice under a suitability standard is generally considered a lower standard.  </w:t>
      </w:r>
      <w:r>
        <w:rPr>
          <w:rFonts w:cs="Arial"/>
          <w:color w:val="262626"/>
        </w:rPr>
        <w:t xml:space="preserve">This </w:t>
      </w:r>
      <w:bookmarkStart w:id="0" w:name="_GoBack"/>
      <w:r>
        <w:rPr>
          <w:rFonts w:cs="Arial"/>
          <w:color w:val="262626"/>
        </w:rPr>
        <w:t xml:space="preserve">becomes </w:t>
      </w:r>
      <w:bookmarkEnd w:id="0"/>
      <w:r>
        <w:rPr>
          <w:rFonts w:cs="Arial"/>
          <w:color w:val="262626"/>
        </w:rPr>
        <w:t xml:space="preserve">very problematic when an advisor (RIA or BD or </w:t>
      </w:r>
      <w:r>
        <w:rPr>
          <w:rFonts w:cs="Arial"/>
          <w:color w:val="262626"/>
        </w:rPr>
        <w:lastRenderedPageBreak/>
        <w:t xml:space="preserve">dually registered) offers advice in the form of financial products.  </w:t>
      </w:r>
    </w:p>
    <w:p w14:paraId="5905049D" w14:textId="77777777" w:rsidR="007350E3" w:rsidRDefault="007350E3" w:rsidP="00101041">
      <w:pPr>
        <w:widowControl w:val="0"/>
        <w:tabs>
          <w:tab w:val="left" w:pos="220"/>
          <w:tab w:val="left" w:pos="720"/>
        </w:tabs>
        <w:autoSpaceDE w:val="0"/>
        <w:autoSpaceDN w:val="0"/>
        <w:adjustRightInd w:val="0"/>
        <w:rPr>
          <w:rFonts w:cs="Arial"/>
          <w:color w:val="262626"/>
        </w:rPr>
      </w:pPr>
    </w:p>
    <w:p w14:paraId="73471E82" w14:textId="40932344" w:rsidR="007350E3" w:rsidRDefault="006A2D92" w:rsidP="00101041">
      <w:pPr>
        <w:widowControl w:val="0"/>
        <w:tabs>
          <w:tab w:val="left" w:pos="220"/>
          <w:tab w:val="left" w:pos="720"/>
        </w:tabs>
        <w:autoSpaceDE w:val="0"/>
        <w:autoSpaceDN w:val="0"/>
        <w:adjustRightInd w:val="0"/>
        <w:rPr>
          <w:rFonts w:cs="Arial"/>
          <w:color w:val="262626"/>
        </w:rPr>
      </w:pPr>
      <w:r>
        <w:rPr>
          <w:rFonts w:ascii="Helvetica" w:hAnsi="Helvetica" w:cs="Helvetica"/>
          <w:noProof/>
          <w:sz w:val="24"/>
          <w:szCs w:val="24"/>
        </w:rPr>
        <w:drawing>
          <wp:inline distT="0" distB="0" distL="0" distR="0" wp14:anchorId="4DC1AC98" wp14:editId="7B7CA5CD">
            <wp:extent cx="5486400" cy="2465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65046"/>
                    </a:xfrm>
                    <a:prstGeom prst="rect">
                      <a:avLst/>
                    </a:prstGeom>
                    <a:noFill/>
                    <a:ln>
                      <a:noFill/>
                    </a:ln>
                  </pic:spPr>
                </pic:pic>
              </a:graphicData>
            </a:graphic>
          </wp:inline>
        </w:drawing>
      </w:r>
    </w:p>
    <w:p w14:paraId="0CB9E409" w14:textId="77777777" w:rsidR="007350E3" w:rsidRDefault="007350E3" w:rsidP="00101041">
      <w:pPr>
        <w:widowControl w:val="0"/>
        <w:tabs>
          <w:tab w:val="left" w:pos="220"/>
          <w:tab w:val="left" w:pos="720"/>
        </w:tabs>
        <w:autoSpaceDE w:val="0"/>
        <w:autoSpaceDN w:val="0"/>
        <w:adjustRightInd w:val="0"/>
        <w:rPr>
          <w:rFonts w:cs="Arial"/>
          <w:color w:val="262626"/>
        </w:rPr>
      </w:pPr>
    </w:p>
    <w:p w14:paraId="77F19AE9" w14:textId="2EF1B516" w:rsidR="006A2D92" w:rsidRDefault="006A2D92" w:rsidP="00101041">
      <w:pPr>
        <w:widowControl w:val="0"/>
        <w:tabs>
          <w:tab w:val="left" w:pos="220"/>
          <w:tab w:val="left" w:pos="720"/>
        </w:tabs>
        <w:autoSpaceDE w:val="0"/>
        <w:autoSpaceDN w:val="0"/>
        <w:adjustRightInd w:val="0"/>
        <w:rPr>
          <w:rFonts w:cs="Arial"/>
          <w:color w:val="262626"/>
        </w:rPr>
      </w:pPr>
      <w:r>
        <w:rPr>
          <w:rFonts w:cs="Arial"/>
          <w:color w:val="262626"/>
        </w:rPr>
        <w:t xml:space="preserve">Financial products can have certain commissions or fees for the advisor.  Illustrated above is an analogy making the connection between fiduciary and suitability </w:t>
      </w:r>
      <w:r w:rsidR="009639CF">
        <w:rPr>
          <w:rFonts w:cs="Arial"/>
          <w:color w:val="262626"/>
        </w:rPr>
        <w:t xml:space="preserve">advice </w:t>
      </w:r>
      <w:r>
        <w:rPr>
          <w:rFonts w:cs="Arial"/>
          <w:color w:val="262626"/>
        </w:rPr>
        <w:t xml:space="preserve">and a prescription from a doctor.  Considering a </w:t>
      </w:r>
      <w:r w:rsidR="00CF3845">
        <w:rPr>
          <w:rFonts w:cs="Arial"/>
          <w:color w:val="262626"/>
        </w:rPr>
        <w:t xml:space="preserve">simplistic </w:t>
      </w:r>
      <w:r>
        <w:rPr>
          <w:rFonts w:cs="Arial"/>
          <w:color w:val="262626"/>
        </w:rPr>
        <w:t xml:space="preserve">hypothetical scenario where a </w:t>
      </w:r>
      <w:r w:rsidR="00CF3845">
        <w:rPr>
          <w:rFonts w:cs="Arial"/>
          <w:color w:val="262626"/>
        </w:rPr>
        <w:t xml:space="preserve">medical </w:t>
      </w:r>
      <w:r>
        <w:rPr>
          <w:rFonts w:cs="Arial"/>
          <w:color w:val="262626"/>
        </w:rPr>
        <w:t>condition can both be cured or the symptoms managed, a doctor giving a prescription under a fiduciary standard will cure the existing condition while doctor giving a prescription under a suitability standard may offer a prescription to manage symptoms rather than treat the underlying condi</w:t>
      </w:r>
      <w:r w:rsidR="00CF3845">
        <w:rPr>
          <w:rFonts w:cs="Arial"/>
          <w:color w:val="262626"/>
        </w:rPr>
        <w:t>tion.  To further illustrate that point</w:t>
      </w:r>
      <w:r>
        <w:rPr>
          <w:rFonts w:cs="Arial"/>
          <w:color w:val="262626"/>
        </w:rPr>
        <w:t xml:space="preserve">, if a doctor opted for the “suitable” prescription </w:t>
      </w:r>
      <w:r w:rsidR="00CF3845">
        <w:rPr>
          <w:rFonts w:cs="Arial"/>
          <w:color w:val="262626"/>
        </w:rPr>
        <w:t>option over the “fiduciary” prescription option because they are receiving commission from the pharmaceutical company, they are clearly giving conflicted advice.</w:t>
      </w:r>
    </w:p>
    <w:p w14:paraId="64094CE2" w14:textId="77777777" w:rsidR="00CF3845" w:rsidRDefault="00CF3845" w:rsidP="00101041">
      <w:pPr>
        <w:widowControl w:val="0"/>
        <w:tabs>
          <w:tab w:val="left" w:pos="220"/>
          <w:tab w:val="left" w:pos="720"/>
        </w:tabs>
        <w:autoSpaceDE w:val="0"/>
        <w:autoSpaceDN w:val="0"/>
        <w:adjustRightInd w:val="0"/>
        <w:rPr>
          <w:rFonts w:cs="Arial"/>
          <w:color w:val="262626"/>
        </w:rPr>
      </w:pPr>
    </w:p>
    <w:p w14:paraId="07546F5F" w14:textId="25454F78" w:rsidR="00CF3845" w:rsidRDefault="00CF3845" w:rsidP="00101041">
      <w:pPr>
        <w:widowControl w:val="0"/>
        <w:tabs>
          <w:tab w:val="left" w:pos="220"/>
          <w:tab w:val="left" w:pos="720"/>
        </w:tabs>
        <w:autoSpaceDE w:val="0"/>
        <w:autoSpaceDN w:val="0"/>
        <w:adjustRightInd w:val="0"/>
        <w:rPr>
          <w:rFonts w:cs="Arial"/>
          <w:color w:val="262626"/>
        </w:rPr>
      </w:pPr>
      <w:r>
        <w:rPr>
          <w:rFonts w:cs="Arial"/>
          <w:color w:val="262626"/>
        </w:rPr>
        <w:t xml:space="preserve">Based on hand labeled analysis of over 100 Form ADV records, it my hypothesis that the information contained in the Form ADV (part 1) can be used to make accurate predictions on whether there is a high likelihood of receiving conflicted advice from a financial advisor.  </w:t>
      </w:r>
    </w:p>
    <w:p w14:paraId="5F1F90DB" w14:textId="77777777" w:rsidR="007350E3" w:rsidRDefault="007350E3" w:rsidP="00101041">
      <w:pPr>
        <w:widowControl w:val="0"/>
        <w:tabs>
          <w:tab w:val="left" w:pos="220"/>
          <w:tab w:val="left" w:pos="720"/>
        </w:tabs>
        <w:autoSpaceDE w:val="0"/>
        <w:autoSpaceDN w:val="0"/>
        <w:adjustRightInd w:val="0"/>
        <w:rPr>
          <w:rFonts w:cs="Arial"/>
          <w:color w:val="262626"/>
        </w:rPr>
      </w:pPr>
    </w:p>
    <w:p w14:paraId="39FA3D53" w14:textId="69C4F4B8" w:rsidR="00101041" w:rsidRPr="00CF3845" w:rsidRDefault="00CF3845" w:rsidP="00CF3845">
      <w:pPr>
        <w:pStyle w:val="ListParagraph"/>
        <w:numPr>
          <w:ilvl w:val="0"/>
          <w:numId w:val="1"/>
        </w:numPr>
        <w:rPr>
          <w:rFonts w:cs="Arial"/>
          <w:b/>
          <w:color w:val="262626"/>
        </w:rPr>
      </w:pPr>
      <w:r w:rsidRPr="00CF3845">
        <w:rPr>
          <w:rFonts w:cs="Arial"/>
          <w:b/>
          <w:color w:val="262626"/>
        </w:rPr>
        <w:t>Data Source</w:t>
      </w:r>
      <w:r w:rsidR="009639CF">
        <w:rPr>
          <w:rFonts w:cs="Arial"/>
          <w:b/>
          <w:color w:val="262626"/>
        </w:rPr>
        <w:t>s</w:t>
      </w:r>
    </w:p>
    <w:p w14:paraId="6F0678C5" w14:textId="77777777" w:rsidR="00CF3845" w:rsidRDefault="00CF3845" w:rsidP="00CF3845">
      <w:pPr>
        <w:rPr>
          <w:b/>
        </w:rPr>
      </w:pPr>
    </w:p>
    <w:p w14:paraId="7948A823" w14:textId="66F896FA" w:rsidR="00101041" w:rsidRDefault="00CF3845" w:rsidP="00101041">
      <w:r>
        <w:t xml:space="preserve">SEC Form ADV part 1 is publicly available </w:t>
      </w:r>
      <w:hyperlink r:id="rId10" w:history="1">
        <w:r w:rsidRPr="00CF3845">
          <w:rPr>
            <w:rStyle w:val="Hyperlink"/>
          </w:rPr>
          <w:t>here</w:t>
        </w:r>
      </w:hyperlink>
      <w:r>
        <w:t xml:space="preserve">.  This data set 11,766 observations with </w:t>
      </w:r>
      <w:r w:rsidR="009639CF">
        <w:t xml:space="preserve">215 distinctive features.  A full data dictionary explaining what is contained in each feature is available here &lt;link to ADV Part 1 instructions&gt;.  </w:t>
      </w:r>
    </w:p>
    <w:p w14:paraId="43ED395E" w14:textId="77777777" w:rsidR="009639CF" w:rsidRDefault="009639CF" w:rsidP="00101041"/>
    <w:p w14:paraId="7EBEB505" w14:textId="1EC8D6B1" w:rsidR="009639CF" w:rsidRDefault="009639CF" w:rsidP="00101041">
      <w:r>
        <w:t>The training data consists of 120 hand labeled observations.  &lt;A redacted version of this data set will be uploaded at a later time&gt;.</w:t>
      </w:r>
    </w:p>
    <w:p w14:paraId="09BCD71A" w14:textId="77777777" w:rsidR="009639CF" w:rsidRDefault="009639CF" w:rsidP="00101041"/>
    <w:p w14:paraId="5DB92E12" w14:textId="30A531D8" w:rsidR="009639CF" w:rsidRPr="009639CF" w:rsidRDefault="009639CF" w:rsidP="009639CF">
      <w:pPr>
        <w:pStyle w:val="ListParagraph"/>
        <w:numPr>
          <w:ilvl w:val="0"/>
          <w:numId w:val="1"/>
        </w:numPr>
        <w:rPr>
          <w:b/>
        </w:rPr>
      </w:pPr>
      <w:r w:rsidRPr="009639CF">
        <w:rPr>
          <w:b/>
        </w:rPr>
        <w:t xml:space="preserve">Methodology </w:t>
      </w:r>
    </w:p>
    <w:p w14:paraId="619BCA1A" w14:textId="77777777" w:rsidR="009639CF" w:rsidRDefault="009639CF" w:rsidP="009639CF">
      <w:pPr>
        <w:rPr>
          <w:b/>
        </w:rPr>
      </w:pPr>
    </w:p>
    <w:p w14:paraId="243C37BE" w14:textId="4276205E" w:rsidR="00E06793" w:rsidRPr="00E06793" w:rsidRDefault="00E06793" w:rsidP="009639CF">
      <w:r>
        <w:t>&lt;</w:t>
      </w:r>
      <w:r w:rsidR="00164DDD">
        <w:t xml:space="preserve">Place holder </w:t>
      </w:r>
      <w:r>
        <w:t>Add&gt;</w:t>
      </w:r>
    </w:p>
    <w:p w14:paraId="524B0CF0" w14:textId="77777777" w:rsidR="00E06793" w:rsidRDefault="00E06793" w:rsidP="009639CF"/>
    <w:p w14:paraId="6091F2D1" w14:textId="77777777" w:rsidR="00E06793" w:rsidRDefault="00E06793" w:rsidP="009639CF"/>
    <w:p w14:paraId="5A1D18D6" w14:textId="77777777" w:rsidR="00E06793" w:rsidRDefault="00E06793" w:rsidP="009639CF"/>
    <w:p w14:paraId="0AE038BD" w14:textId="3F1ACD98" w:rsidR="00E06793" w:rsidRPr="00E06793" w:rsidRDefault="00E06793" w:rsidP="00E06793">
      <w:pPr>
        <w:pStyle w:val="ListParagraph"/>
        <w:numPr>
          <w:ilvl w:val="0"/>
          <w:numId w:val="1"/>
        </w:numPr>
        <w:rPr>
          <w:b/>
        </w:rPr>
      </w:pPr>
      <w:r w:rsidRPr="00E06793">
        <w:rPr>
          <w:b/>
        </w:rPr>
        <w:t>Descriptive and Exploratory Analysis</w:t>
      </w:r>
      <w:r w:rsidR="00164DDD">
        <w:rPr>
          <w:b/>
        </w:rPr>
        <w:t xml:space="preserve"> –DRAFT Current Status</w:t>
      </w:r>
    </w:p>
    <w:p w14:paraId="56ED61BB" w14:textId="77777777" w:rsidR="00E06793" w:rsidRPr="00E06793" w:rsidRDefault="00E06793" w:rsidP="00E06793">
      <w:pPr>
        <w:pStyle w:val="ListParagraph"/>
        <w:ind w:left="400"/>
      </w:pPr>
    </w:p>
    <w:p w14:paraId="4E73DF5B" w14:textId="062C705C" w:rsidR="009639CF" w:rsidRDefault="00E06793" w:rsidP="009639CF">
      <w:r>
        <w:t xml:space="preserve">&lt;Currently examining all 215 features.  Initial hypothesis was that only features identified when making hand labeled data: </w:t>
      </w:r>
      <w:r w:rsidR="00164DDD">
        <w:t xml:space="preserve">Compensation Arrangements, </w:t>
      </w:r>
      <w:r>
        <w:t>Advisory Activities</w:t>
      </w:r>
      <w:r w:rsidR="00164DDD">
        <w:t>, Business</w:t>
      </w:r>
      <w:r w:rsidR="005774DB">
        <w:t xml:space="preserve"> Activities </w:t>
      </w:r>
      <w:r w:rsidR="00164DDD">
        <w:t>and Financial Industry Affiliation.</w:t>
      </w:r>
      <w:r w:rsidR="005774DB">
        <w:t xml:space="preserve"> Still working on fitting a naïve bayes model. </w:t>
      </w:r>
    </w:p>
    <w:p w14:paraId="6E089575" w14:textId="77777777" w:rsidR="002E11FB" w:rsidRDefault="002E11FB" w:rsidP="009639CF"/>
    <w:p w14:paraId="5A5AA9EE" w14:textId="5B6BD795" w:rsidR="002E11FB" w:rsidRDefault="002E11FB" w:rsidP="009639CF">
      <w:r>
        <w:t>Issue 1: Not able to access ADV Part 2 in bulk – currently trying to figure out if I can access SEC’s API to either scrape ADV part 2 or do a look up based on unique identifiers in ADV Part 1</w:t>
      </w:r>
    </w:p>
    <w:p w14:paraId="0DD5BACC" w14:textId="77777777" w:rsidR="002E11FB" w:rsidRDefault="002E11FB" w:rsidP="009639CF"/>
    <w:p w14:paraId="533A672A" w14:textId="255A6C97" w:rsidR="002E11FB" w:rsidRDefault="002E11FB" w:rsidP="009639CF">
      <w:r>
        <w:t>Issue 2: Training data is only 1 class (</w:t>
      </w:r>
      <w:r w:rsidR="005774DB">
        <w:t xml:space="preserve">all </w:t>
      </w:r>
      <w:r>
        <w:t xml:space="preserve">conflicted advice) can add 1 observation </w:t>
      </w:r>
      <w:r w:rsidR="005774DB">
        <w:t xml:space="preserve">(not conflicted) </w:t>
      </w:r>
      <w:r>
        <w:t xml:space="preserve">that I recently </w:t>
      </w:r>
      <w:r w:rsidR="005774DB">
        <w:t>looked up for an unrelated project.</w:t>
      </w:r>
      <w:r w:rsidR="006F0779">
        <w:t xml:space="preserve">  Not sure how to get additional observations of different class</w:t>
      </w:r>
    </w:p>
    <w:p w14:paraId="6F419D80" w14:textId="77777777" w:rsidR="006F0779" w:rsidRDefault="006F0779" w:rsidP="009639CF"/>
    <w:p w14:paraId="434419E2" w14:textId="632CAFFE" w:rsidR="006F0779" w:rsidRDefault="006F0779" w:rsidP="009639CF">
      <w:r>
        <w:t>Issue 3: Output of final prediction, initially thought to be a binary classification problem, but may change depending on resolution to Issue 2.</w:t>
      </w:r>
    </w:p>
    <w:p w14:paraId="1C6DC8DF" w14:textId="77777777" w:rsidR="00164DDD" w:rsidRDefault="00164DDD" w:rsidP="009639CF"/>
    <w:p w14:paraId="4472F919" w14:textId="7D65A89A" w:rsidR="00164DDD" w:rsidRDefault="00164DDD" w:rsidP="009639CF">
      <w:r>
        <w:t xml:space="preserve">&lt;ADD Detailed Data Dictionary of FINAL Features identified&gt; </w:t>
      </w:r>
    </w:p>
    <w:p w14:paraId="09CB0AA1" w14:textId="77777777" w:rsidR="00164DDD" w:rsidRDefault="00164DDD" w:rsidP="009639CF"/>
    <w:p w14:paraId="7A8383FA" w14:textId="3DB22674" w:rsidR="00164DDD" w:rsidRPr="009639CF" w:rsidRDefault="00164DDD" w:rsidP="00164DDD">
      <w:pPr>
        <w:pStyle w:val="ListParagraph"/>
        <w:numPr>
          <w:ilvl w:val="0"/>
          <w:numId w:val="1"/>
        </w:numPr>
        <w:rPr>
          <w:b/>
        </w:rPr>
      </w:pPr>
      <w:r>
        <w:rPr>
          <w:b/>
        </w:rPr>
        <w:t>Predictions from Training Data and Machine Learning</w:t>
      </w:r>
    </w:p>
    <w:p w14:paraId="226B184A" w14:textId="77777777" w:rsidR="00164DDD" w:rsidRDefault="00164DDD" w:rsidP="00164DDD">
      <w:pPr>
        <w:rPr>
          <w:b/>
        </w:rPr>
      </w:pPr>
    </w:p>
    <w:p w14:paraId="018F9C23" w14:textId="77777777" w:rsidR="00164DDD" w:rsidRDefault="00164DDD" w:rsidP="00164DDD">
      <w:r>
        <w:t>&lt;Place holder Add&gt;</w:t>
      </w:r>
    </w:p>
    <w:p w14:paraId="274FB2B3" w14:textId="77777777" w:rsidR="00164DDD" w:rsidRDefault="00164DDD" w:rsidP="00164DDD"/>
    <w:p w14:paraId="59A447CA" w14:textId="035A63C5" w:rsidR="00164DDD" w:rsidRPr="009639CF" w:rsidRDefault="00164DDD" w:rsidP="00164DDD">
      <w:pPr>
        <w:pStyle w:val="ListParagraph"/>
        <w:numPr>
          <w:ilvl w:val="0"/>
          <w:numId w:val="1"/>
        </w:numPr>
        <w:rPr>
          <w:b/>
        </w:rPr>
      </w:pPr>
      <w:r>
        <w:rPr>
          <w:b/>
        </w:rPr>
        <w:t>Model Selection</w:t>
      </w:r>
    </w:p>
    <w:p w14:paraId="0E6306B3" w14:textId="77777777" w:rsidR="00164DDD" w:rsidRDefault="00164DDD" w:rsidP="00164DDD">
      <w:pPr>
        <w:rPr>
          <w:b/>
        </w:rPr>
      </w:pPr>
    </w:p>
    <w:p w14:paraId="0804AD3D" w14:textId="77777777" w:rsidR="00164DDD" w:rsidRDefault="00164DDD" w:rsidP="00164DDD">
      <w:r>
        <w:t>&lt;Place holder Add&gt;</w:t>
      </w:r>
    </w:p>
    <w:p w14:paraId="7679F838" w14:textId="77777777" w:rsidR="00164DDD" w:rsidRDefault="00164DDD" w:rsidP="00164DDD"/>
    <w:p w14:paraId="3719A9F0" w14:textId="2DAEC464" w:rsidR="00164DDD" w:rsidRPr="009639CF" w:rsidRDefault="00164DDD" w:rsidP="00164DDD">
      <w:pPr>
        <w:pStyle w:val="ListParagraph"/>
        <w:numPr>
          <w:ilvl w:val="0"/>
          <w:numId w:val="1"/>
        </w:numPr>
        <w:rPr>
          <w:b/>
        </w:rPr>
      </w:pPr>
      <w:r>
        <w:rPr>
          <w:b/>
        </w:rPr>
        <w:t>Predictions</w:t>
      </w:r>
    </w:p>
    <w:p w14:paraId="6E992551" w14:textId="77777777" w:rsidR="00164DDD" w:rsidRDefault="00164DDD" w:rsidP="00164DDD">
      <w:pPr>
        <w:rPr>
          <w:b/>
        </w:rPr>
      </w:pPr>
    </w:p>
    <w:p w14:paraId="0439790F" w14:textId="77777777" w:rsidR="00164DDD" w:rsidRPr="00E06793" w:rsidRDefault="00164DDD" w:rsidP="00164DDD">
      <w:r>
        <w:t>&lt;Place holder Add&gt;</w:t>
      </w:r>
    </w:p>
    <w:p w14:paraId="40347282" w14:textId="77777777" w:rsidR="00164DDD" w:rsidRDefault="00164DDD" w:rsidP="00164DDD"/>
    <w:p w14:paraId="36DA258D" w14:textId="1C276D01" w:rsidR="00164DDD" w:rsidRPr="009639CF" w:rsidRDefault="00164DDD" w:rsidP="00164DDD">
      <w:pPr>
        <w:pStyle w:val="ListParagraph"/>
        <w:numPr>
          <w:ilvl w:val="0"/>
          <w:numId w:val="1"/>
        </w:numPr>
        <w:rPr>
          <w:b/>
        </w:rPr>
      </w:pPr>
      <w:r>
        <w:rPr>
          <w:b/>
        </w:rPr>
        <w:t>Conclusion</w:t>
      </w:r>
    </w:p>
    <w:p w14:paraId="69DF73DA" w14:textId="77777777" w:rsidR="00164DDD" w:rsidRDefault="00164DDD" w:rsidP="00164DDD">
      <w:pPr>
        <w:rPr>
          <w:b/>
        </w:rPr>
      </w:pPr>
    </w:p>
    <w:p w14:paraId="3C6C6609" w14:textId="77777777" w:rsidR="00164DDD" w:rsidRPr="00E06793" w:rsidRDefault="00164DDD" w:rsidP="00164DDD">
      <w:r>
        <w:t>&lt;Place holder Add&gt;</w:t>
      </w:r>
    </w:p>
    <w:p w14:paraId="24B10A05" w14:textId="77777777" w:rsidR="00164DDD" w:rsidRPr="00E06793" w:rsidRDefault="00164DDD" w:rsidP="00164DDD"/>
    <w:p w14:paraId="3787390C" w14:textId="77777777" w:rsidR="00164DDD" w:rsidRPr="00E06793" w:rsidRDefault="00164DDD" w:rsidP="00164DDD"/>
    <w:p w14:paraId="4D636E19" w14:textId="77777777" w:rsidR="00164DDD" w:rsidRDefault="00164DDD" w:rsidP="009639CF"/>
    <w:p w14:paraId="08061BEC" w14:textId="77777777" w:rsidR="00164DDD" w:rsidRDefault="00164DDD" w:rsidP="009639CF"/>
    <w:p w14:paraId="13551793" w14:textId="77777777" w:rsidR="00164DDD" w:rsidRPr="00E06793" w:rsidRDefault="00164DDD" w:rsidP="009639CF"/>
    <w:p w14:paraId="7FBBE978" w14:textId="77777777" w:rsidR="009639CF" w:rsidRPr="00101041" w:rsidRDefault="009639CF" w:rsidP="00101041">
      <w:pPr>
        <w:rPr>
          <w:b/>
        </w:rPr>
      </w:pPr>
    </w:p>
    <w:sectPr w:rsidR="009639CF" w:rsidRPr="00101041" w:rsidSect="00AC45AD">
      <w:footerReference w:type="even" r:id="rId11"/>
      <w:footerReference w:type="default" r:id="rId12"/>
      <w:pgSz w:w="12240" w:h="15840"/>
      <w:pgMar w:top="1440" w:right="1440" w:bottom="1440" w:left="1440" w:header="720" w:footer="91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5A4E3" w14:textId="77777777" w:rsidR="002E11FB" w:rsidRDefault="002E11FB" w:rsidP="00A07B43">
      <w:r>
        <w:separator/>
      </w:r>
    </w:p>
  </w:endnote>
  <w:endnote w:type="continuationSeparator" w:id="0">
    <w:p w14:paraId="43DF01CC" w14:textId="77777777" w:rsidR="002E11FB" w:rsidRDefault="002E11FB" w:rsidP="00A0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n-ea">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3F907" w14:textId="77777777" w:rsidR="002E11FB" w:rsidRDefault="002E11FB" w:rsidP="00A07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D293D" w14:textId="77777777" w:rsidR="002E11FB" w:rsidRDefault="002E11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CC636" w14:textId="77777777" w:rsidR="002E11FB" w:rsidRPr="00635A6A" w:rsidRDefault="002E11FB" w:rsidP="00A07B43">
    <w:pPr>
      <w:pStyle w:val="Footer"/>
      <w:framePr w:wrap="around" w:vAnchor="text" w:hAnchor="margin" w:xAlign="center" w:y="1"/>
      <w:rPr>
        <w:rStyle w:val="PageNumber"/>
      </w:rPr>
    </w:pPr>
    <w:r w:rsidRPr="00635A6A">
      <w:rPr>
        <w:rStyle w:val="PageNumber"/>
      </w:rPr>
      <w:fldChar w:fldCharType="begin"/>
    </w:r>
    <w:r w:rsidRPr="00635A6A">
      <w:rPr>
        <w:rStyle w:val="PageNumber"/>
      </w:rPr>
      <w:instrText xml:space="preserve">PAGE  </w:instrText>
    </w:r>
    <w:r w:rsidRPr="00635A6A">
      <w:rPr>
        <w:rStyle w:val="PageNumber"/>
      </w:rPr>
      <w:fldChar w:fldCharType="separate"/>
    </w:r>
    <w:r w:rsidR="00AC45AD">
      <w:rPr>
        <w:rStyle w:val="PageNumber"/>
        <w:noProof/>
      </w:rPr>
      <w:t>1</w:t>
    </w:r>
    <w:r w:rsidRPr="00635A6A">
      <w:rPr>
        <w:rStyle w:val="PageNumber"/>
      </w:rPr>
      <w:fldChar w:fldCharType="end"/>
    </w:r>
  </w:p>
  <w:p w14:paraId="4AA663BA" w14:textId="77777777" w:rsidR="002E11FB" w:rsidRPr="00635A6A" w:rsidRDefault="002E11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ED5FA" w14:textId="77777777" w:rsidR="002E11FB" w:rsidRDefault="002E11FB" w:rsidP="00A07B43">
      <w:r>
        <w:separator/>
      </w:r>
    </w:p>
  </w:footnote>
  <w:footnote w:type="continuationSeparator" w:id="0">
    <w:p w14:paraId="4E510CEF" w14:textId="77777777" w:rsidR="002E11FB" w:rsidRDefault="002E11FB" w:rsidP="00A07B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9046F1"/>
    <w:multiLevelType w:val="hybridMultilevel"/>
    <w:tmpl w:val="A178DF94"/>
    <w:lvl w:ilvl="0" w:tplc="E7902B8E">
      <w:start w:val="1"/>
      <w:numFmt w:val="bullet"/>
      <w:lvlText w:val="•"/>
      <w:lvlJc w:val="left"/>
      <w:pPr>
        <w:tabs>
          <w:tab w:val="num" w:pos="720"/>
        </w:tabs>
        <w:ind w:left="720" w:hanging="360"/>
      </w:pPr>
      <w:rPr>
        <w:rFonts w:ascii="Arial" w:hAnsi="Arial" w:hint="default"/>
      </w:rPr>
    </w:lvl>
    <w:lvl w:ilvl="1" w:tplc="73BA3532" w:tentative="1">
      <w:start w:val="1"/>
      <w:numFmt w:val="bullet"/>
      <w:lvlText w:val="•"/>
      <w:lvlJc w:val="left"/>
      <w:pPr>
        <w:tabs>
          <w:tab w:val="num" w:pos="1440"/>
        </w:tabs>
        <w:ind w:left="1440" w:hanging="360"/>
      </w:pPr>
      <w:rPr>
        <w:rFonts w:ascii="Arial" w:hAnsi="Arial" w:hint="default"/>
      </w:rPr>
    </w:lvl>
    <w:lvl w:ilvl="2" w:tplc="33387528" w:tentative="1">
      <w:start w:val="1"/>
      <w:numFmt w:val="bullet"/>
      <w:lvlText w:val="•"/>
      <w:lvlJc w:val="left"/>
      <w:pPr>
        <w:tabs>
          <w:tab w:val="num" w:pos="2160"/>
        </w:tabs>
        <w:ind w:left="2160" w:hanging="360"/>
      </w:pPr>
      <w:rPr>
        <w:rFonts w:ascii="Arial" w:hAnsi="Arial" w:hint="default"/>
      </w:rPr>
    </w:lvl>
    <w:lvl w:ilvl="3" w:tplc="F5D44922" w:tentative="1">
      <w:start w:val="1"/>
      <w:numFmt w:val="bullet"/>
      <w:lvlText w:val="•"/>
      <w:lvlJc w:val="left"/>
      <w:pPr>
        <w:tabs>
          <w:tab w:val="num" w:pos="2880"/>
        </w:tabs>
        <w:ind w:left="2880" w:hanging="360"/>
      </w:pPr>
      <w:rPr>
        <w:rFonts w:ascii="Arial" w:hAnsi="Arial" w:hint="default"/>
      </w:rPr>
    </w:lvl>
    <w:lvl w:ilvl="4" w:tplc="F05A673E" w:tentative="1">
      <w:start w:val="1"/>
      <w:numFmt w:val="bullet"/>
      <w:lvlText w:val="•"/>
      <w:lvlJc w:val="left"/>
      <w:pPr>
        <w:tabs>
          <w:tab w:val="num" w:pos="3600"/>
        </w:tabs>
        <w:ind w:left="3600" w:hanging="360"/>
      </w:pPr>
      <w:rPr>
        <w:rFonts w:ascii="Arial" w:hAnsi="Arial" w:hint="default"/>
      </w:rPr>
    </w:lvl>
    <w:lvl w:ilvl="5" w:tplc="1F8A6274" w:tentative="1">
      <w:start w:val="1"/>
      <w:numFmt w:val="bullet"/>
      <w:lvlText w:val="•"/>
      <w:lvlJc w:val="left"/>
      <w:pPr>
        <w:tabs>
          <w:tab w:val="num" w:pos="4320"/>
        </w:tabs>
        <w:ind w:left="4320" w:hanging="360"/>
      </w:pPr>
      <w:rPr>
        <w:rFonts w:ascii="Arial" w:hAnsi="Arial" w:hint="default"/>
      </w:rPr>
    </w:lvl>
    <w:lvl w:ilvl="6" w:tplc="8228D9B0" w:tentative="1">
      <w:start w:val="1"/>
      <w:numFmt w:val="bullet"/>
      <w:lvlText w:val="•"/>
      <w:lvlJc w:val="left"/>
      <w:pPr>
        <w:tabs>
          <w:tab w:val="num" w:pos="5040"/>
        </w:tabs>
        <w:ind w:left="5040" w:hanging="360"/>
      </w:pPr>
      <w:rPr>
        <w:rFonts w:ascii="Arial" w:hAnsi="Arial" w:hint="default"/>
      </w:rPr>
    </w:lvl>
    <w:lvl w:ilvl="7" w:tplc="F12A8D74" w:tentative="1">
      <w:start w:val="1"/>
      <w:numFmt w:val="bullet"/>
      <w:lvlText w:val="•"/>
      <w:lvlJc w:val="left"/>
      <w:pPr>
        <w:tabs>
          <w:tab w:val="num" w:pos="5760"/>
        </w:tabs>
        <w:ind w:left="5760" w:hanging="360"/>
      </w:pPr>
      <w:rPr>
        <w:rFonts w:ascii="Arial" w:hAnsi="Arial" w:hint="default"/>
      </w:rPr>
    </w:lvl>
    <w:lvl w:ilvl="8" w:tplc="3A123530" w:tentative="1">
      <w:start w:val="1"/>
      <w:numFmt w:val="bullet"/>
      <w:lvlText w:val="•"/>
      <w:lvlJc w:val="left"/>
      <w:pPr>
        <w:tabs>
          <w:tab w:val="num" w:pos="6480"/>
        </w:tabs>
        <w:ind w:left="6480" w:hanging="360"/>
      </w:pPr>
      <w:rPr>
        <w:rFonts w:ascii="Arial" w:hAnsi="Arial" w:hint="default"/>
      </w:rPr>
    </w:lvl>
  </w:abstractNum>
  <w:abstractNum w:abstractNumId="2">
    <w:nsid w:val="13572B05"/>
    <w:multiLevelType w:val="hybridMultilevel"/>
    <w:tmpl w:val="4AD40E00"/>
    <w:lvl w:ilvl="0" w:tplc="850EC8C2">
      <w:start w:val="1"/>
      <w:numFmt w:val="bullet"/>
      <w:lvlText w:val="•"/>
      <w:lvlJc w:val="left"/>
      <w:pPr>
        <w:tabs>
          <w:tab w:val="num" w:pos="720"/>
        </w:tabs>
        <w:ind w:left="720" w:hanging="360"/>
      </w:pPr>
      <w:rPr>
        <w:rFonts w:ascii="Arial" w:hAnsi="Arial" w:hint="default"/>
      </w:rPr>
    </w:lvl>
    <w:lvl w:ilvl="1" w:tplc="68F6400C" w:tentative="1">
      <w:start w:val="1"/>
      <w:numFmt w:val="bullet"/>
      <w:lvlText w:val="•"/>
      <w:lvlJc w:val="left"/>
      <w:pPr>
        <w:tabs>
          <w:tab w:val="num" w:pos="1440"/>
        </w:tabs>
        <w:ind w:left="1440" w:hanging="360"/>
      </w:pPr>
      <w:rPr>
        <w:rFonts w:ascii="Arial" w:hAnsi="Arial" w:hint="default"/>
      </w:rPr>
    </w:lvl>
    <w:lvl w:ilvl="2" w:tplc="718471E6" w:tentative="1">
      <w:start w:val="1"/>
      <w:numFmt w:val="bullet"/>
      <w:lvlText w:val="•"/>
      <w:lvlJc w:val="left"/>
      <w:pPr>
        <w:tabs>
          <w:tab w:val="num" w:pos="2160"/>
        </w:tabs>
        <w:ind w:left="2160" w:hanging="360"/>
      </w:pPr>
      <w:rPr>
        <w:rFonts w:ascii="Arial" w:hAnsi="Arial" w:hint="default"/>
      </w:rPr>
    </w:lvl>
    <w:lvl w:ilvl="3" w:tplc="E15AF546" w:tentative="1">
      <w:start w:val="1"/>
      <w:numFmt w:val="bullet"/>
      <w:lvlText w:val="•"/>
      <w:lvlJc w:val="left"/>
      <w:pPr>
        <w:tabs>
          <w:tab w:val="num" w:pos="2880"/>
        </w:tabs>
        <w:ind w:left="2880" w:hanging="360"/>
      </w:pPr>
      <w:rPr>
        <w:rFonts w:ascii="Arial" w:hAnsi="Arial" w:hint="default"/>
      </w:rPr>
    </w:lvl>
    <w:lvl w:ilvl="4" w:tplc="1E6EB2FA" w:tentative="1">
      <w:start w:val="1"/>
      <w:numFmt w:val="bullet"/>
      <w:lvlText w:val="•"/>
      <w:lvlJc w:val="left"/>
      <w:pPr>
        <w:tabs>
          <w:tab w:val="num" w:pos="3600"/>
        </w:tabs>
        <w:ind w:left="3600" w:hanging="360"/>
      </w:pPr>
      <w:rPr>
        <w:rFonts w:ascii="Arial" w:hAnsi="Arial" w:hint="default"/>
      </w:rPr>
    </w:lvl>
    <w:lvl w:ilvl="5" w:tplc="C1A42C5C" w:tentative="1">
      <w:start w:val="1"/>
      <w:numFmt w:val="bullet"/>
      <w:lvlText w:val="•"/>
      <w:lvlJc w:val="left"/>
      <w:pPr>
        <w:tabs>
          <w:tab w:val="num" w:pos="4320"/>
        </w:tabs>
        <w:ind w:left="4320" w:hanging="360"/>
      </w:pPr>
      <w:rPr>
        <w:rFonts w:ascii="Arial" w:hAnsi="Arial" w:hint="default"/>
      </w:rPr>
    </w:lvl>
    <w:lvl w:ilvl="6" w:tplc="14682EA2" w:tentative="1">
      <w:start w:val="1"/>
      <w:numFmt w:val="bullet"/>
      <w:lvlText w:val="•"/>
      <w:lvlJc w:val="left"/>
      <w:pPr>
        <w:tabs>
          <w:tab w:val="num" w:pos="5040"/>
        </w:tabs>
        <w:ind w:left="5040" w:hanging="360"/>
      </w:pPr>
      <w:rPr>
        <w:rFonts w:ascii="Arial" w:hAnsi="Arial" w:hint="default"/>
      </w:rPr>
    </w:lvl>
    <w:lvl w:ilvl="7" w:tplc="6C9056E8" w:tentative="1">
      <w:start w:val="1"/>
      <w:numFmt w:val="bullet"/>
      <w:lvlText w:val="•"/>
      <w:lvlJc w:val="left"/>
      <w:pPr>
        <w:tabs>
          <w:tab w:val="num" w:pos="5760"/>
        </w:tabs>
        <w:ind w:left="5760" w:hanging="360"/>
      </w:pPr>
      <w:rPr>
        <w:rFonts w:ascii="Arial" w:hAnsi="Arial" w:hint="default"/>
      </w:rPr>
    </w:lvl>
    <w:lvl w:ilvl="8" w:tplc="937EAF78" w:tentative="1">
      <w:start w:val="1"/>
      <w:numFmt w:val="bullet"/>
      <w:lvlText w:val="•"/>
      <w:lvlJc w:val="left"/>
      <w:pPr>
        <w:tabs>
          <w:tab w:val="num" w:pos="6480"/>
        </w:tabs>
        <w:ind w:left="6480" w:hanging="360"/>
      </w:pPr>
      <w:rPr>
        <w:rFonts w:ascii="Arial" w:hAnsi="Arial" w:hint="default"/>
      </w:rPr>
    </w:lvl>
  </w:abstractNum>
  <w:abstractNum w:abstractNumId="3">
    <w:nsid w:val="6FA440EC"/>
    <w:multiLevelType w:val="multilevel"/>
    <w:tmpl w:val="4540F95E"/>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90"/>
    <w:rsid w:val="00036E90"/>
    <w:rsid w:val="000E4974"/>
    <w:rsid w:val="00101041"/>
    <w:rsid w:val="00164DDD"/>
    <w:rsid w:val="002E11FB"/>
    <w:rsid w:val="005774DB"/>
    <w:rsid w:val="005920A0"/>
    <w:rsid w:val="00635A6A"/>
    <w:rsid w:val="006A2D92"/>
    <w:rsid w:val="006F0779"/>
    <w:rsid w:val="007350E3"/>
    <w:rsid w:val="007937AF"/>
    <w:rsid w:val="00827FDA"/>
    <w:rsid w:val="009639CF"/>
    <w:rsid w:val="00A07B43"/>
    <w:rsid w:val="00AC45AD"/>
    <w:rsid w:val="00CF3845"/>
    <w:rsid w:val="00D650E2"/>
    <w:rsid w:val="00DD2DD4"/>
    <w:rsid w:val="00E06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E9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41"/>
    <w:pPr>
      <w:ind w:left="720"/>
      <w:contextualSpacing/>
    </w:pPr>
  </w:style>
  <w:style w:type="paragraph" w:styleId="Footer">
    <w:name w:val="footer"/>
    <w:basedOn w:val="Normal"/>
    <w:link w:val="FooterChar"/>
    <w:uiPriority w:val="99"/>
    <w:unhideWhenUsed/>
    <w:rsid w:val="00A07B43"/>
    <w:pPr>
      <w:tabs>
        <w:tab w:val="center" w:pos="4320"/>
        <w:tab w:val="right" w:pos="8640"/>
      </w:tabs>
    </w:pPr>
  </w:style>
  <w:style w:type="character" w:customStyle="1" w:styleId="FooterChar">
    <w:name w:val="Footer Char"/>
    <w:basedOn w:val="DefaultParagraphFont"/>
    <w:link w:val="Footer"/>
    <w:uiPriority w:val="99"/>
    <w:rsid w:val="00A07B43"/>
  </w:style>
  <w:style w:type="character" w:styleId="PageNumber">
    <w:name w:val="page number"/>
    <w:basedOn w:val="DefaultParagraphFont"/>
    <w:uiPriority w:val="99"/>
    <w:semiHidden/>
    <w:unhideWhenUsed/>
    <w:rsid w:val="00A07B43"/>
  </w:style>
  <w:style w:type="paragraph" w:styleId="BalloonText">
    <w:name w:val="Balloon Text"/>
    <w:basedOn w:val="Normal"/>
    <w:link w:val="BalloonTextChar"/>
    <w:uiPriority w:val="99"/>
    <w:semiHidden/>
    <w:unhideWhenUsed/>
    <w:rsid w:val="00592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0A0"/>
    <w:rPr>
      <w:rFonts w:ascii="Lucida Grande" w:hAnsi="Lucida Grande" w:cs="Lucida Grande"/>
      <w:sz w:val="18"/>
      <w:szCs w:val="18"/>
    </w:rPr>
  </w:style>
  <w:style w:type="character" w:styleId="Hyperlink">
    <w:name w:val="Hyperlink"/>
    <w:basedOn w:val="DefaultParagraphFont"/>
    <w:uiPriority w:val="99"/>
    <w:unhideWhenUsed/>
    <w:rsid w:val="00CF3845"/>
    <w:rPr>
      <w:color w:val="0000FF" w:themeColor="hyperlink"/>
      <w:u w:val="single"/>
    </w:rPr>
  </w:style>
  <w:style w:type="paragraph" w:styleId="Header">
    <w:name w:val="header"/>
    <w:basedOn w:val="Normal"/>
    <w:link w:val="HeaderChar"/>
    <w:uiPriority w:val="99"/>
    <w:unhideWhenUsed/>
    <w:rsid w:val="00827FDA"/>
    <w:pPr>
      <w:tabs>
        <w:tab w:val="center" w:pos="4320"/>
        <w:tab w:val="right" w:pos="8640"/>
      </w:tabs>
    </w:pPr>
  </w:style>
  <w:style w:type="character" w:customStyle="1" w:styleId="HeaderChar">
    <w:name w:val="Header Char"/>
    <w:basedOn w:val="DefaultParagraphFont"/>
    <w:link w:val="Header"/>
    <w:uiPriority w:val="99"/>
    <w:rsid w:val="00827F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41"/>
    <w:pPr>
      <w:ind w:left="720"/>
      <w:contextualSpacing/>
    </w:pPr>
  </w:style>
  <w:style w:type="paragraph" w:styleId="Footer">
    <w:name w:val="footer"/>
    <w:basedOn w:val="Normal"/>
    <w:link w:val="FooterChar"/>
    <w:uiPriority w:val="99"/>
    <w:unhideWhenUsed/>
    <w:rsid w:val="00A07B43"/>
    <w:pPr>
      <w:tabs>
        <w:tab w:val="center" w:pos="4320"/>
        <w:tab w:val="right" w:pos="8640"/>
      </w:tabs>
    </w:pPr>
  </w:style>
  <w:style w:type="character" w:customStyle="1" w:styleId="FooterChar">
    <w:name w:val="Footer Char"/>
    <w:basedOn w:val="DefaultParagraphFont"/>
    <w:link w:val="Footer"/>
    <w:uiPriority w:val="99"/>
    <w:rsid w:val="00A07B43"/>
  </w:style>
  <w:style w:type="character" w:styleId="PageNumber">
    <w:name w:val="page number"/>
    <w:basedOn w:val="DefaultParagraphFont"/>
    <w:uiPriority w:val="99"/>
    <w:semiHidden/>
    <w:unhideWhenUsed/>
    <w:rsid w:val="00A07B43"/>
  </w:style>
  <w:style w:type="paragraph" w:styleId="BalloonText">
    <w:name w:val="Balloon Text"/>
    <w:basedOn w:val="Normal"/>
    <w:link w:val="BalloonTextChar"/>
    <w:uiPriority w:val="99"/>
    <w:semiHidden/>
    <w:unhideWhenUsed/>
    <w:rsid w:val="00592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0A0"/>
    <w:rPr>
      <w:rFonts w:ascii="Lucida Grande" w:hAnsi="Lucida Grande" w:cs="Lucida Grande"/>
      <w:sz w:val="18"/>
      <w:szCs w:val="18"/>
    </w:rPr>
  </w:style>
  <w:style w:type="character" w:styleId="Hyperlink">
    <w:name w:val="Hyperlink"/>
    <w:basedOn w:val="DefaultParagraphFont"/>
    <w:uiPriority w:val="99"/>
    <w:unhideWhenUsed/>
    <w:rsid w:val="00CF3845"/>
    <w:rPr>
      <w:color w:val="0000FF" w:themeColor="hyperlink"/>
      <w:u w:val="single"/>
    </w:rPr>
  </w:style>
  <w:style w:type="paragraph" w:styleId="Header">
    <w:name w:val="header"/>
    <w:basedOn w:val="Normal"/>
    <w:link w:val="HeaderChar"/>
    <w:uiPriority w:val="99"/>
    <w:unhideWhenUsed/>
    <w:rsid w:val="00827FDA"/>
    <w:pPr>
      <w:tabs>
        <w:tab w:val="center" w:pos="4320"/>
        <w:tab w:val="right" w:pos="8640"/>
      </w:tabs>
    </w:pPr>
  </w:style>
  <w:style w:type="character" w:customStyle="1" w:styleId="HeaderChar">
    <w:name w:val="Header Char"/>
    <w:basedOn w:val="DefaultParagraphFont"/>
    <w:link w:val="Header"/>
    <w:uiPriority w:val="99"/>
    <w:rsid w:val="0082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737722">
      <w:bodyDiv w:val="1"/>
      <w:marLeft w:val="0"/>
      <w:marRight w:val="0"/>
      <w:marTop w:val="0"/>
      <w:marBottom w:val="0"/>
      <w:divBdr>
        <w:top w:val="none" w:sz="0" w:space="0" w:color="auto"/>
        <w:left w:val="none" w:sz="0" w:space="0" w:color="auto"/>
        <w:bottom w:val="none" w:sz="0" w:space="0" w:color="auto"/>
        <w:right w:val="none" w:sz="0" w:space="0" w:color="auto"/>
      </w:divBdr>
      <w:divsChild>
        <w:div w:id="826676277">
          <w:marLeft w:val="547"/>
          <w:marRight w:val="0"/>
          <w:marTop w:val="0"/>
          <w:marBottom w:val="120"/>
          <w:divBdr>
            <w:top w:val="none" w:sz="0" w:space="0" w:color="auto"/>
            <w:left w:val="none" w:sz="0" w:space="0" w:color="auto"/>
            <w:bottom w:val="none" w:sz="0" w:space="0" w:color="auto"/>
            <w:right w:val="none" w:sz="0" w:space="0" w:color="auto"/>
          </w:divBdr>
        </w:div>
        <w:div w:id="2001273713">
          <w:marLeft w:val="547"/>
          <w:marRight w:val="0"/>
          <w:marTop w:val="0"/>
          <w:marBottom w:val="120"/>
          <w:divBdr>
            <w:top w:val="none" w:sz="0" w:space="0" w:color="auto"/>
            <w:left w:val="none" w:sz="0" w:space="0" w:color="auto"/>
            <w:bottom w:val="none" w:sz="0" w:space="0" w:color="auto"/>
            <w:right w:val="none" w:sz="0" w:space="0" w:color="auto"/>
          </w:divBdr>
        </w:div>
      </w:divsChild>
    </w:div>
    <w:div w:id="729499951">
      <w:bodyDiv w:val="1"/>
      <w:marLeft w:val="0"/>
      <w:marRight w:val="0"/>
      <w:marTop w:val="0"/>
      <w:marBottom w:val="0"/>
      <w:divBdr>
        <w:top w:val="none" w:sz="0" w:space="0" w:color="auto"/>
        <w:left w:val="none" w:sz="0" w:space="0" w:color="auto"/>
        <w:bottom w:val="none" w:sz="0" w:space="0" w:color="auto"/>
        <w:right w:val="none" w:sz="0" w:space="0" w:color="auto"/>
      </w:divBdr>
    </w:div>
    <w:div w:id="821502448">
      <w:bodyDiv w:val="1"/>
      <w:marLeft w:val="0"/>
      <w:marRight w:val="0"/>
      <w:marTop w:val="0"/>
      <w:marBottom w:val="0"/>
      <w:divBdr>
        <w:top w:val="none" w:sz="0" w:space="0" w:color="auto"/>
        <w:left w:val="none" w:sz="0" w:space="0" w:color="auto"/>
        <w:bottom w:val="none" w:sz="0" w:space="0" w:color="auto"/>
        <w:right w:val="none" w:sz="0" w:space="0" w:color="auto"/>
      </w:divBdr>
      <w:divsChild>
        <w:div w:id="432361688">
          <w:marLeft w:val="547"/>
          <w:marRight w:val="0"/>
          <w:marTop w:val="0"/>
          <w:marBottom w:val="120"/>
          <w:divBdr>
            <w:top w:val="none" w:sz="0" w:space="0" w:color="auto"/>
            <w:left w:val="none" w:sz="0" w:space="0" w:color="auto"/>
            <w:bottom w:val="none" w:sz="0" w:space="0" w:color="auto"/>
            <w:right w:val="none" w:sz="0" w:space="0" w:color="auto"/>
          </w:divBdr>
        </w:div>
        <w:div w:id="1484852089">
          <w:marLeft w:val="547"/>
          <w:marRight w:val="0"/>
          <w:marTop w:val="0"/>
          <w:marBottom w:val="120"/>
          <w:divBdr>
            <w:top w:val="none" w:sz="0" w:space="0" w:color="auto"/>
            <w:left w:val="none" w:sz="0" w:space="0" w:color="auto"/>
            <w:bottom w:val="none" w:sz="0" w:space="0" w:color="auto"/>
            <w:right w:val="none" w:sz="0" w:space="0" w:color="auto"/>
          </w:divBdr>
        </w:div>
      </w:divsChild>
    </w:div>
    <w:div w:id="1976256333">
      <w:bodyDiv w:val="1"/>
      <w:marLeft w:val="0"/>
      <w:marRight w:val="0"/>
      <w:marTop w:val="0"/>
      <w:marBottom w:val="0"/>
      <w:divBdr>
        <w:top w:val="none" w:sz="0" w:space="0" w:color="auto"/>
        <w:left w:val="none" w:sz="0" w:space="0" w:color="auto"/>
        <w:bottom w:val="none" w:sz="0" w:space="0" w:color="auto"/>
        <w:right w:val="none" w:sz="0" w:space="0" w:color="auto"/>
      </w:divBdr>
      <w:divsChild>
        <w:div w:id="1406414737">
          <w:marLeft w:val="547"/>
          <w:marRight w:val="0"/>
          <w:marTop w:val="0"/>
          <w:marBottom w:val="120"/>
          <w:divBdr>
            <w:top w:val="none" w:sz="0" w:space="0" w:color="auto"/>
            <w:left w:val="none" w:sz="0" w:space="0" w:color="auto"/>
            <w:bottom w:val="none" w:sz="0" w:space="0" w:color="auto"/>
            <w:right w:val="none" w:sz="0" w:space="0" w:color="auto"/>
          </w:divBdr>
        </w:div>
      </w:divsChild>
    </w:div>
    <w:div w:id="2048597563">
      <w:bodyDiv w:val="1"/>
      <w:marLeft w:val="0"/>
      <w:marRight w:val="0"/>
      <w:marTop w:val="0"/>
      <w:marBottom w:val="0"/>
      <w:divBdr>
        <w:top w:val="none" w:sz="0" w:space="0" w:color="auto"/>
        <w:left w:val="none" w:sz="0" w:space="0" w:color="auto"/>
        <w:bottom w:val="none" w:sz="0" w:space="0" w:color="auto"/>
        <w:right w:val="none" w:sz="0" w:space="0" w:color="auto"/>
      </w:divBdr>
      <w:divsChild>
        <w:div w:id="1405375684">
          <w:marLeft w:val="547"/>
          <w:marRight w:val="0"/>
          <w:marTop w:val="0"/>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ec.gov/foia/docs/invafoi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706</Words>
  <Characters>4029</Characters>
  <Application>Microsoft Macintosh Word</Application>
  <DocSecurity>0</DocSecurity>
  <Lines>33</Lines>
  <Paragraphs>9</Paragraphs>
  <ScaleCrop>false</ScaleCrop>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Chiuco</dc:creator>
  <cp:keywords/>
  <dc:description/>
  <cp:lastModifiedBy>John Chiuco</cp:lastModifiedBy>
  <cp:revision>8</cp:revision>
  <cp:lastPrinted>2015-07-27T21:48:00Z</cp:lastPrinted>
  <dcterms:created xsi:type="dcterms:W3CDTF">2015-07-27T18:43:00Z</dcterms:created>
  <dcterms:modified xsi:type="dcterms:W3CDTF">2015-07-27T21:48:00Z</dcterms:modified>
</cp:coreProperties>
</file>