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 Parry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character has learned that if they time their shield parry just right, they’d be able to offset their opponent’s balance.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Expert (Strength)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the character gains an Advantage on their Parry action with any Shield except for Buckler and Tower Shield, they can choose to perform a Bash Special Action, turning the tide of battle and knocking their enemy off their feet.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" w:cs="Alegreya" w:eastAsia="Alegreya" w:hAnsi="Alegreya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