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AgentTimeOff</w:t>
            </w:r>
          </w:p>
        </w:tc>
        <w:tc>
          <w:tcPr/>
          <w:p>
            <w:pPr>
              <w:pStyle w:val="Compact"/>
            </w:pPr>
            <w:r>
              <w:t xml:space="preserve">Agent</w:t>
            </w:r>
          </w:p>
        </w:tc>
        <w:tc>
          <w:tcPr/>
          <w:p>
            <w:pPr>
              <w:pStyle w:val="Compact"/>
            </w:pPr>
            <w:r>
              <w:t xml:space="preserve">P1</w:t>
            </w:r>
          </w:p>
        </w:tc>
        <w:tc>
          <w:tcPr/>
          <w:p>
            <w:pPr>
              <w:pStyle w:val="Compact"/>
            </w:pPr>
            <w:r>
              <w:t xml:space="preserve">One out-of-office block (§3.12.2)</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 Enforced by role, not by reading this column: agent Edge Functions (</w:t>
            </w:r>
            <w:r>
              <w:rPr>
                <w:rStyle w:val="VerbatimChar"/>
              </w:rPr>
              <w:t xml:space="preserve">requireAgentId</w:t>
            </w:r>
            <w:r>
              <w:t xml:space="preserve">) and</w:t>
            </w:r>
            <w:r>
              <w:t xml:space="preserve"> </w:t>
            </w:r>
            <w:r>
              <w:rPr>
                <w:rStyle w:val="VerbatimChar"/>
              </w:rPr>
              <w:t xml:space="preserve">current_agent_id()</w:t>
            </w:r>
            <w:r>
              <w:t xml:space="preserve"> </w:t>
            </w:r>
            <w:r>
              <w:t xml:space="preserve">require an</w:t>
            </w:r>
            <w:r>
              <w:t xml:space="preserve"> </w:t>
            </w:r>
            <w:r>
              <w:rPr>
                <w:rStyle w:val="VerbatimChar"/>
              </w:rPr>
              <w:t xml:space="preserve">aal2</w:t>
            </w:r>
            <w:r>
              <w:t xml:space="preserve"> </w:t>
            </w:r>
            <w:r>
              <w:t xml:space="preserve">session (Tech-Recommendations §7)</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An advisor’s invite is the one exception, and it binds at invite time (§3.9, 2026-10-16).</w:t>
      </w:r>
      <w:r>
        <w:t xml:space="preserve"> </w:t>
      </w:r>
      <w:r>
        <w:rPr>
          <w:rStyle w:val="VerbatimChar"/>
        </w:rPr>
        <w:t xml:space="preserve">generateLink(type: invite)</w:t>
      </w:r>
      <w:r>
        <w:t xml:space="preserve"> </w:t>
      </w:r>
      <w:r>
        <w:t xml:space="preserve">creates the auth user at once, so</w:t>
      </w:r>
      <w:r>
        <w:t xml:space="preserve"> </w:t>
      </w:r>
      <w:r>
        <w:rPr>
          <w:rStyle w:val="VerbatimChar"/>
        </w:rPr>
        <w:t xml:space="preserve">account_admin_bind_invite()</w:t>
      </w:r>
      <w:r>
        <w:t xml:space="preserve"> </w:t>
      </w:r>
      <w:r>
        <w:t xml:space="preserve">runs straight after it: it points the new sign-in at the client the advisor invited, deletes</w:t>
      </w:r>
      <w:r>
        <w:t xml:space="preserve"> </w:t>
      </w:r>
      <w:r>
        <w:t xml:space="preserve">the blank row</w:t>
      </w:r>
      <w:r>
        <w:t xml:space="preserve"> </w:t>
      </w:r>
      <w:r>
        <w:rPr>
          <w:rStyle w:val="VerbatimChar"/>
        </w:rPr>
        <w:t xml:space="preserve">handle_new_user()</w:t>
      </w:r>
      <w:r>
        <w:t xml:space="preserve"> </w:t>
      </w:r>
      <w:r>
        <w:t xml:space="preserve">made, and sets</w:t>
      </w:r>
      <w:r>
        <w:t xml:space="preserve"> </w:t>
      </w:r>
      <w:r>
        <w:rPr>
          <w:rStyle w:val="VerbatimChar"/>
        </w:rPr>
        <w:t xml:space="preserve">auth.users.raw_app_meta_data.invited_client_id</w:t>
      </w:r>
      <w:r>
        <w:t xml:space="preserve">.</w:t>
      </w:r>
      <w:r>
        <w:t xml:space="preserve"> </w:t>
      </w:r>
      <w:r>
        <w:rPr>
          <w:rStyle w:val="VerbatimChar"/>
        </w:rPr>
        <w:t xml:space="preserve">handle_user_email_confirmed()</w:t>
      </w:r>
      <w:r>
        <w:t xml:space="preserve"> </w:t>
      </w:r>
      <w:r>
        <w:t xml:space="preserve">returns early for a user carrying that marker, so acceptance</w:t>
      </w:r>
      <w:r>
        <w:t xml:space="preserve"> </w:t>
      </w:r>
      <w:r>
        <w:t xml:space="preserve">cannot re-adopt by email onto a same-email record made in between (which would archive the real</w:t>
      </w:r>
      <w:r>
        <w:t xml:space="preserve"> </w:t>
      </w:r>
      <w:r>
        <w:t xml:space="preserve">one). This does not reopen the hole above: that hole is a stranger TYPING an address. Here the</w:t>
      </w:r>
      <w:r>
        <w:t xml:space="preserve"> </w:t>
      </w:r>
      <w:r>
        <w:t xml:space="preserve">advisor chose the record, the address is the one on it, and no session exists until the link</w:t>
      </w:r>
      <w:r>
        <w:t xml:space="preserve"> </w:t>
      </w:r>
      <w:r>
        <w:t xml:space="preserve">mailed to that address is opened. Mailbox proof still comes first; only the choice of record</w:t>
      </w:r>
      <w:r>
        <w:t xml:space="preserve"> </w:t>
      </w:r>
      <w:r>
        <w:t xml:space="preserve">moved earlier, made by a person rather than inferred. The invite is refused while another live</w:t>
      </w:r>
      <w:r>
        <w:t xml:space="preserve"> </w:t>
      </w:r>
      <w:r>
        <w:t xml:space="preserve">record shares the email.</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How a record becomes</w:t>
      </w:r>
      <w:r>
        <w:rPr>
          <w:b/>
          <w:bCs/>
        </w:rPr>
        <w:t xml:space="preserve"> </w:t>
      </w:r>
      <w:r>
        <w:rPr>
          <w:rStyle w:val="VerbatimChar"/>
          <w:b/>
          <w:bCs/>
        </w:rPr>
        <w:t xml:space="preserve">merged_into</w:t>
      </w:r>
      <w:r>
        <w:rPr>
          <w:b/>
          <w:bCs/>
        </w:rPr>
        <w:t xml:space="preserve"> </w:t>
      </w:r>
      <w:r>
        <w:rPr>
          <w:b/>
          <w:bCs/>
        </w:rPr>
        <w:t xml:space="preserve">(§3.9 PR 2, October 2026).</w:t>
      </w:r>
      <w:r>
        <w:t xml:space="preserve"> </w:t>
      </w:r>
      <w:r>
        <w:t xml:space="preserve">Only through</w:t>
      </w:r>
      <w:r>
        <w:t xml:space="preserve"> </w:t>
      </w:r>
      <w:r>
        <w:rPr>
          <w:rStyle w:val="VerbatimChar"/>
        </w:rPr>
        <w:t xml:space="preserve">account_admin_merge_clients()</w:t>
      </w:r>
      <w:r>
        <w:t xml:space="preserve"> </w:t>
      </w:r>
      <w:r>
        <w:t xml:space="preserve">(migration</w:t>
      </w:r>
      <w:r>
        <w:t xml:space="preserve"> </w:t>
      </w:r>
      <w:r>
        <w:rPr>
          <w:rStyle w:val="VerbatimChar"/>
        </w:rPr>
        <w:t xml:space="preserve">20261024120000_client_merge</w:t>
      </w:r>
      <w:r>
        <w:t xml:space="preserve">), called by the</w:t>
      </w:r>
      <w:r>
        <w:t xml:space="preserve"> </w:t>
      </w:r>
      <w:r>
        <w:rPr>
          <w:rStyle w:val="VerbatimChar"/>
        </w:rPr>
        <w:t xml:space="preserve">account-admin</w:t>
      </w:r>
      <w:r>
        <w:t xml:space="preserve"> </w:t>
      </w:r>
      <w:r>
        <w:t xml:space="preserve">Edge Function’s</w:t>
      </w:r>
      <w:r>
        <w:t xml:space="preserve"> </w:t>
      </w:r>
      <w:r>
        <w:rPr>
          <w:rStyle w:val="VerbatimChar"/>
        </w:rPr>
        <w:t xml:space="preserve">merge</w:t>
      </w:r>
      <w:r>
        <w:t xml:space="preserve"> </w:t>
      </w:r>
      <w:r>
        <w:t xml:space="preserve">op. The retired row is kept, never deleted, with</w:t>
      </w:r>
      <w:r>
        <w:t xml:space="preserve"> </w:t>
      </w:r>
      <w:r>
        <w:rPr>
          <w:rStyle w:val="VerbatimChar"/>
        </w:rPr>
        <w:t xml:space="preserve">merged_into_client_id</w:t>
      </w:r>
      <w:r>
        <w:t xml:space="preserve"> </w:t>
      </w:r>
      <w:r>
        <w:t xml:space="preserve">set to the kept record; records merged into it earlier are re-pointed,</w:t>
      </w:r>
      <w:r>
        <w:t xml:space="preserve"> </w:t>
      </w:r>
      <w:r>
        <w:t xml:space="preserve">so a chain is always one hop. Everything that references</w:t>
      </w:r>
      <w:r>
        <w:t xml:space="preserve"> </w:t>
      </w:r>
      <w:r>
        <w:rPr>
          <w:rStyle w:val="VerbatimChar"/>
        </w:rPr>
        <w:t xml:space="preserve">client</w:t>
      </w:r>
      <w:r>
        <w:t xml:space="preserve"> </w:t>
      </w:r>
      <w:r>
        <w:t xml:space="preserve">moves to the kept record:</w:t>
      </w:r>
      <w:r>
        <w:t xml:space="preserve"> </w:t>
      </w:r>
      <w:r>
        <w:rPr>
          <w:rStyle w:val="VerbatimChar"/>
        </w:rPr>
        <w:t xml:space="preserve">trip</w:t>
      </w:r>
      <w:r>
        <w:t xml:space="preserve"> </w:t>
      </w:r>
      <w:r>
        <w:t xml:space="preserve">(and with it</w:t>
      </w:r>
      <w:r>
        <w:t xml:space="preserve"> </w:t>
      </w:r>
      <w:r>
        <w:rPr>
          <w:rStyle w:val="VerbatimChar"/>
        </w:rPr>
        <w:t xml:space="preserve">commission</w:t>
      </w:r>
      <w:r>
        <w:t xml:space="preserve">),</w:t>
      </w:r>
      <w:r>
        <w:t xml:space="preserve"> </w:t>
      </w:r>
      <w:r>
        <w:rPr>
          <w:rStyle w:val="VerbatimChar"/>
        </w:rPr>
        <w:t xml:space="preserve">conversation</w:t>
      </w:r>
      <w:r>
        <w:t xml:space="preserve">,</w:t>
      </w:r>
      <w:r>
        <w:t xml:space="preserve"> </w:t>
      </w:r>
      <w:r>
        <w:rPr>
          <w:rStyle w:val="VerbatimChar"/>
        </w:rPr>
        <w:t xml:space="preserve">client_note</w:t>
      </w:r>
      <w:r>
        <w:t xml:space="preserve">,</w:t>
      </w:r>
      <w:r>
        <w:t xml:space="preserve"> </w:t>
      </w:r>
      <w:r>
        <w:rPr>
          <w:rStyle w:val="VerbatimChar"/>
        </w:rPr>
        <w:t xml:space="preserve">companion</w:t>
      </w:r>
      <w:r>
        <w:t xml:space="preserve"> </w:t>
      </w:r>
      <w:r>
        <w:t xml:space="preserve">(</w:t>
      </w:r>
      <w:r>
        <w:rPr>
          <w:rStyle w:val="VerbatimChar"/>
        </w:rPr>
        <w:t xml:space="preserve">client_id</w:t>
      </w:r>
      <w:r>
        <w:t xml:space="preserve"> </w:t>
      </w:r>
      <w:r>
        <w:t xml:space="preserve">and</w:t>
      </w:r>
      <w:r>
        <w:t xml:space="preserve"> </w:t>
      </w:r>
      <w:r>
        <w:rPr>
          <w:rStyle w:val="VerbatimChar"/>
        </w:rPr>
        <w:t xml:space="preserve">linked_client_id</w:t>
      </w:r>
      <w:r>
        <w:t xml:space="preserve">),</w:t>
      </w:r>
      <w:r>
        <w:t xml:space="preserve"> </w:t>
      </w:r>
      <w:r>
        <w:rPr>
          <w:rStyle w:val="VerbatimChar"/>
        </w:rPr>
        <w:t xml:space="preserve">document</w:t>
      </w:r>
      <w:r>
        <w:t xml:space="preserve">,</w:t>
      </w:r>
      <w:r>
        <w:t xml:space="preserve"> </w:t>
      </w:r>
      <w:r>
        <w:rPr>
          <w:rStyle w:val="VerbatimChar"/>
        </w:rPr>
        <w:t xml:space="preserve">travel_document</w:t>
      </w:r>
      <w:r>
        <w:t xml:space="preser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The</w:t>
      </w:r>
      <w:r>
        <w:t xml:space="preserve"> </w:t>
      </w:r>
      <w:r>
        <w:t xml:space="preserve">migration fails if a new table references</w:t>
      </w:r>
      <w:r>
        <w:t xml:space="preserve"> </w:t>
      </w:r>
      <w:r>
        <w:rPr>
          <w:rStyle w:val="VerbatimChar"/>
        </w:rPr>
        <w:t xml:space="preserve">client</w:t>
      </w:r>
      <w:r>
        <w:t xml:space="preserve"> </w:t>
      </w:r>
      <w:r>
        <w:t xml:space="preserve">and the merge does not move it.</w:t>
      </w:r>
      <w:r>
        <w:t xml:space="preserve"> </w:t>
      </w:r>
      <w:r>
        <w:rPr>
          <w:rStyle w:val="VerbatimChar"/>
        </w:rPr>
        <w:t xml:space="preserve">travel_preference</w:t>
      </w:r>
      <w:r>
        <w:t xml:space="preserve"> </w:t>
      </w:r>
      <w:r>
        <w:t xml:space="preserve">(one row per client) takes the picker’s values on the kept row; the</w:t>
      </w:r>
      <w:r>
        <w:t xml:space="preserve"> </w:t>
      </w:r>
      <w:r>
        <w:t xml:space="preserve">retired row’s stays where it is.</w:t>
      </w:r>
      <w:r>
        <w:t xml:space="preserve"> </w:t>
      </w:r>
      <w:r>
        <w:rPr>
          <w:rStyle w:val="VerbatimChar"/>
        </w:rPr>
        <w:t xml:space="preserve">platform_user.client_id</w:t>
      </w:r>
      <w:r>
        <w:t xml:space="preserve"> </w:t>
      </w:r>
      <w:r>
        <w:t xml:space="preserve">moves only when the kept record has</w:t>
      </w:r>
      <w:r>
        <w:t xml:space="preserve"> </w:t>
      </w:r>
      <w:r>
        <w:t xml:space="preserve">no sign-in; otherwise the retired sign-in is locked. The audit row (</w:t>
      </w:r>
      <w:r>
        <w:rPr>
          <w:rStyle w:val="VerbatimChar"/>
        </w:rPr>
        <w:t xml:space="preserve">client.merged</w:t>
      </w:r>
      <w:r>
        <w:t xml:space="preserve">) holds both</w:t>
      </w:r>
      <w:r>
        <w:t xml:space="preserve"> </w:t>
      </w:r>
      <w:r>
        <w:t xml:space="preserve">rows’ every value from before and the id of every row that moved; there is no undo.</w:t>
      </w:r>
    </w:p>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7"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§3.12.1: a PATH in the public</w:t>
            </w:r>
            <w:r>
              <w:t xml:space="preserve"> </w:t>
            </w:r>
            <w:r>
              <w:rPr>
                <w:rStyle w:val="VerbatimChar"/>
              </w:rPr>
              <w:t xml:space="preserve">agent-avatars</w:t>
            </w:r>
            <w:r>
              <w:t xml:space="preserve"> </w:t>
            </w:r>
            <w:r>
              <w:t xml:space="preserve">bucket,</w:t>
            </w:r>
            <w:r>
              <w:t xml:space="preserve"> </w:t>
            </w:r>
            <w:r>
              <w:rPr>
                <w:rStyle w:val="VerbatimChar"/>
              </w:rPr>
              <w:t xml:space="preserve">/storage/v1/object/public/agent-avatars/&lt;agent id&gt;/&lt;v7&gt;.&lt;jpg\|png\|webp&gt;</w:t>
            </w:r>
            <w:r>
              <w:t xml:space="preserve">, never an absolute URL (inside a function’s container the Supabase origin is</w:t>
            </w:r>
            <w:r>
              <w:t xml:space="preserve"> </w:t>
            </w:r>
            <w:r>
              <w:rPr>
                <w:rStyle w:val="VerbatimChar"/>
              </w:rPr>
              <w:t xml:space="preserve">http://kong:8000</w:t>
            </w:r>
            <w:r>
              <w:t xml:space="preserve"> </w:t>
            </w:r>
            <w:r>
              <w:t xml:space="preserve">locally). Each surface puts it on its own public Supabase origin. Null means initials</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 website}</w:t>
            </w:r>
            <w:r>
              <w:t xml:space="preserve">, each a full</w:t>
            </w:r>
            <w:r>
              <w:t xml:space="preserve"> </w:t>
            </w:r>
            <w:r>
              <w:rPr>
                <w:rStyle w:val="VerbatimChar"/>
              </w:rPr>
              <w:t xml:space="preserve">https://</w:t>
            </w:r>
            <w:r>
              <w:t xml:space="preserve"> </w:t>
            </w:r>
            <w:r>
              <w:t xml:space="preserve">URL or absent (§3.12.1). A CHECK allows no other keys and only</w:t>
            </w:r>
            <w:r>
              <w:t xml:space="preserve"> </w:t>
            </w:r>
            <w:r>
              <w:rPr>
                <w:rStyle w:val="VerbatimChar"/>
              </w:rPr>
              <w:t xml:space="preserve">https://</w:t>
            </w:r>
            <w:r>
              <w:t xml:space="preserve"> </w:t>
            </w:r>
            <w:r>
              <w:t xml:space="preserve">strings</w:t>
            </w:r>
          </w:p>
        </w:tc>
      </w:tr>
      <w:tr>
        <w:tc>
          <w:tcPr/>
          <w:p>
            <w:pPr>
              <w:pStyle w:val="Compact"/>
            </w:pPr>
            <w:r>
              <w:rPr>
                <w:rStyle w:val="VerbatimChar"/>
              </w:rPr>
              <w:t xml:space="preserve">email_signature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§3.12.4. Plain text, at most 8 lines and 500 characters, merge fields</w:t>
            </w:r>
            <w:r>
              <w:t xml:space="preserve"> </w:t>
            </w:r>
            <w:r>
              <w:rPr>
                <w:rStyle w:val="VerbatimChar"/>
              </w:rPr>
              <w:t xml:space="preserve">{{agent.name}}</w:t>
            </w:r>
            <w:r>
              <w:t xml:space="preserve"> </w:t>
            </w:r>
            <w:r>
              <w:t xml:space="preserve">/</w:t>
            </w:r>
            <w:r>
              <w:t xml:space="preserve"> </w:t>
            </w:r>
            <w:r>
              <w:rPr>
                <w:rStyle w:val="VerbatimChar"/>
              </w:rPr>
              <w:t xml:space="preserve">{{agent.phone}}</w:t>
            </w:r>
            <w:r>
              <w:t xml:space="preserve"> </w:t>
            </w:r>
            <w:r>
              <w:t xml:space="preserve">/</w:t>
            </w:r>
            <w:r>
              <w:t xml:space="preserve"> </w:t>
            </w:r>
            <w:r>
              <w:rPr>
                <w:rStyle w:val="VerbatimChar"/>
              </w:rPr>
              <w:t xml:space="preserve">{{agent.email}}</w:t>
            </w:r>
            <w:r>
              <w:t xml:space="preserve">. Null means the default. Printed on client message emails only, above the locked</w:t>
            </w:r>
            <w:r>
              <w:t xml:space="preserve"> </w:t>
            </w:r>
            <w:r>
              <w:t xml:space="preserve">“Story-Tail Adventures · Hosted by Inteletravel”</w:t>
            </w:r>
            <w:r>
              <w:t xml:space="preserve"> </w:t>
            </w:r>
            <w:r>
              <w:t xml:space="preserve">line, which is not stored</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name. §3.12.2 offers North American zones only; drives working hours and rest hours</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 Edited on Screen 3.12.2 (ruled 2026-10-17). One row per agent, created with</w:t>
      </w:r>
      <w:r>
        <w:t xml:space="preserve"> </w:t>
      </w:r>
      <w:r>
        <w:t xml:space="preserve">the defaults on first read.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Exactly seven keys</w:t>
            </w:r>
            <w:r>
              <w:t xml:space="preserve"> </w:t>
            </w:r>
            <w:r>
              <w:rPr>
                <w:rStyle w:val="VerbatimChar"/>
              </w:rPr>
              <w:t xml:space="preserve">mon</w:t>
            </w:r>
            <w:r>
              <w:t xml:space="preserve">…</w:t>
            </w:r>
            <w:r>
              <w:rPr>
                <w:rStyle w:val="VerbatimChar"/>
              </w:rPr>
              <w:t xml:space="preserve">sun</w:t>
            </w:r>
            <w:r>
              <w:t xml:space="preserve">; each</w:t>
            </w:r>
            <w:r>
              <w:t xml:space="preserve"> </w:t>
            </w:r>
            <w:r>
              <w:rPr>
                <w:rStyle w:val="VerbatimChar"/>
              </w:rPr>
              <w:t xml:space="preserve">null</w:t>
            </w:r>
            <w:r>
              <w:t xml:space="preserve"> </w:t>
            </w:r>
            <w:r>
              <w:t xml:space="preserve">(day off) or</w:t>
            </w:r>
            <w:r>
              <w:t xml:space="preserve"> </w:t>
            </w:r>
            <w:r>
              <w:rPr>
                <w:rStyle w:val="VerbatimChar"/>
              </w:rPr>
              <w:t xml:space="preserve">{"start":"HH:MM","end":"HH:MM"}</w:t>
            </w:r>
            <w:r>
              <w:t xml:space="preserve"> </w:t>
            </w:r>
            <w:r>
              <w:t xml:space="preserve">on a 30-minute step,</w:t>
            </w:r>
            <w:r>
              <w:t xml:space="preserve"> </w:t>
            </w:r>
            <w:r>
              <w:rPr>
                <w:rStyle w:val="VerbatimChar"/>
              </w:rPr>
              <w:t xml:space="preserve">start &lt; end</w:t>
            </w:r>
            <w:r>
              <w:t xml:space="preserve">, in</w:t>
            </w:r>
            <w:r>
              <w:t xml:space="preserve"> </w:t>
            </w:r>
            <w:r>
              <w:rPr>
                <w:rStyle w:val="VerbatimChar"/>
              </w:rPr>
              <w:t xml:space="preserve">agent.time_zone</w:t>
            </w:r>
            <w:r>
              <w:t xml:space="preserve">. Checked by</w:t>
            </w:r>
            <w:r>
              <w:t xml:space="preserve"> </w:t>
            </w:r>
            <w:r>
              <w:rPr>
                <w:rStyle w:val="VerbatimChar"/>
              </w:rPr>
              <w:t xml:space="preserve">agent_weekly_schedule_valid()</w:t>
            </w:r>
            <w:r>
              <w:t xml:space="preserve">. Default Mon to Sat 07:00 to 21:00, Sun off.</w:t>
            </w:r>
            <w:r>
              <w:t xml:space="preserve"> </w:t>
            </w:r>
            <w:r>
              <w:rPr>
                <w:b/>
                <w:bCs/>
              </w:rPr>
              <w:t xml:space="preserve">These are the advisor’s working hours AND rest hours</w:t>
            </w:r>
            <w:r>
              <w:t xml:space="preserve"> </w:t>
            </w:r>
            <w:r>
              <w:t xml:space="preserve">(§3.12.2): push is quiet outside them</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“Usually replies within X hours”</w:t>
            </w:r>
            <w:r>
              <w:t xml:space="preserve">, shown to clients. One of 2, 4, 12, 24, 48 (CHECK); default 24</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rPr>
                <w:b/>
                <w:bCs/>
              </w:rPr>
              <w:t xml:space="preserve">Retired 2026-10-17, never written or read.</w:t>
            </w:r>
            <w:r>
              <w:t xml:space="preserve"> </w:t>
            </w:r>
            <w:r>
              <w:t xml:space="preserve">Superseded by</w:t>
            </w:r>
            <w:r>
              <w:t xml:space="preserve"> </w:t>
            </w:r>
            <w:r>
              <w:rPr>
                <w:rStyle w:val="VerbatimChar"/>
              </w:rPr>
              <w:t xml:space="preserve">agent_time_off</w:t>
            </w:r>
            <w:r>
              <w:t xml:space="preserve"> </w:t>
            </w:r>
            <w:r>
              <w:t xml:space="preserve">(§7.5). Dropped once nothing references it</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r>
              <w:t xml:space="preserve"> </w:t>
            </w:r>
            <w:r>
              <w:rPr>
                <w:b/>
                <w:bCs/>
              </w:rPr>
              <w:t xml:space="preserve">Deferred</w:t>
            </w:r>
            <w:r>
              <w:t xml:space="preserve"> </w:t>
            </w:r>
            <w:r>
              <w:t xml:space="preserve">(§3.12.2): nothing writes it</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 Deferred with the above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does not (ruled 2026-10-17: its four tabs leave them on 3.7.7).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Start w:id="36" w:name="agenttimeoff"/>
    <w:p>
      <w:pPr>
        <w:pStyle w:val="Heading3"/>
      </w:pPr>
      <w:r>
        <w:t xml:space="preserve">7.5 AgentTimeOff</w:t>
      </w:r>
    </w:p>
    <w:p>
      <w:pPr>
        <w:pStyle w:val="FirstParagraph"/>
      </w:pPr>
      <w:r>
        <w:rPr>
          <w:b/>
          <w:bCs/>
        </w:rPr>
        <w:t xml:space="preserve">Phase:</w:t>
      </w:r>
      <w:r>
        <w:t xml:space="preserve"> </w:t>
      </w:r>
      <w:r>
        <w:t xml:space="preserve">P1 (§3.12.2, ruled 2026-10-17). One row per out-of-office block. A keyed table, not</w:t>
      </w:r>
      <w:r>
        <w:t xml:space="preserve"> </w:t>
      </w:r>
      <w:r>
        <w:t xml:space="preserve">the old</w:t>
      </w:r>
      <w:r>
        <w:t xml:space="preserve"> </w:t>
      </w:r>
      <w:r>
        <w:rPr>
          <w:rStyle w:val="VerbatimChar"/>
        </w:rPr>
        <w:t xml:space="preserve">time_off_blocks</w:t>
      </w:r>
      <w:r>
        <w:t xml:space="preserve"> </w:t>
      </w:r>
      <w:r>
        <w:t xml:space="preserve">blob, so overlap is a constraint and not a hope.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caller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starts_on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First day away, in</w:t>
            </w:r>
            <w:r>
              <w:t xml:space="preserve"> </w:t>
            </w:r>
            <w:r>
              <w:rPr>
                <w:rStyle w:val="VerbatimChar"/>
              </w:rPr>
              <w:t xml:space="preserve">agent.time_zone</w:t>
            </w:r>
          </w:p>
        </w:tc>
      </w:tr>
      <w:tr>
        <w:tc>
          <w:tcPr/>
          <w:p>
            <w:pPr>
              <w:pStyle w:val="Compact"/>
            </w:pPr>
            <w:r>
              <w:rPr>
                <w:rStyle w:val="VerbatimChar"/>
              </w:rPr>
              <w:t xml:space="preserve">ends_on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Last day away (inclusive).</w:t>
            </w:r>
            <w:r>
              <w:t xml:space="preserve"> </w:t>
            </w:r>
            <w:r>
              <w:rPr>
                <w:rStyle w:val="VerbatimChar"/>
              </w:rPr>
              <w:t xml:space="preserve">ends_on &gt;= starts_on</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“Family trip”</w:t>
            </w:r>
            <w:r>
              <w:t xml:space="preserve">. At most 80 characters</w:t>
            </w:r>
          </w:p>
        </w:tc>
      </w:tr>
      <w:tr>
        <w:tc>
          <w:tcPr/>
          <w:p>
            <w:pPr>
              <w:pStyle w:val="Compact"/>
            </w:pPr>
            <w:r>
              <w:rPr>
                <w:rStyle w:val="VerbatimChar"/>
              </w:rPr>
              <w:t xml:space="preserve">auto_reply_enabled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 false. Used from §3.12 PR 2</w:t>
            </w:r>
          </w:p>
        </w:tc>
      </w:tr>
      <w:tr>
        <w:tc>
          <w:tcPr/>
          <w:p>
            <w:pPr>
              <w:pStyle w:val="Compact"/>
            </w:pPr>
            <w:r>
              <w:rPr>
                <w:rStyle w:val="VerbatimChar"/>
              </w:rPr>
              <w:t xml:space="preserve">auto_reply_text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At most 600 characters; required when enabled. Merge field</w:t>
            </w:r>
            <w:r>
              <w:t xml:space="preserve"> </w:t>
            </w:r>
            <w:r>
              <w:rPr>
                <w:rStyle w:val="VerbatimChar"/>
              </w:rPr>
              <w:t xml:space="preserve">{{return_date}}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t xml:space="preserve">an exclusion constraint (</w:t>
      </w:r>
      <w:r>
        <w:rPr>
          <w:rStyle w:val="VerbatimChar"/>
        </w:rPr>
        <w:t xml:space="preserve">btree_gist</w:t>
      </w:r>
      <w:r>
        <w:t xml:space="preserve">) forbids two blocks of one agent whose</w:t>
      </w:r>
      <w:r>
        <w:t xml:space="preserve"> </w:t>
      </w:r>
      <w:r>
        <w:rPr>
          <w:rStyle w:val="VerbatimChar"/>
        </w:rPr>
        <w:t xml:space="preserve">daterange(starts_on, ends_on, '[]')</w:t>
      </w:r>
      <w:r>
        <w:t xml:space="preserve"> </w:t>
      </w:r>
      <w:r>
        <w:t xml:space="preserve">overlap.</w:t>
      </w:r>
      <w:r>
        <w:t xml:space="preserve"> </w:t>
      </w:r>
      <w:r>
        <w:t xml:space="preserve">“I’m back”</w:t>
      </w:r>
      <w:r>
        <w:t xml:space="preserve"> </w:t>
      </w:r>
      <w:r>
        <w:t xml:space="preserve">sets</w:t>
      </w:r>
      <w:r>
        <w:t xml:space="preserve"> </w:t>
      </w:r>
      <w:r>
        <w:rPr>
          <w:rStyle w:val="VerbatimChar"/>
        </w:rPr>
        <w:t xml:space="preserve">ends_on</w:t>
      </w:r>
      <w:r>
        <w:t xml:space="preserve"> </w:t>
      </w:r>
      <w:r>
        <w:t xml:space="preserve">to yesterday (or</w:t>
      </w:r>
      <w:r>
        <w:t xml:space="preserve"> </w:t>
      </w:r>
      <w:r>
        <w:t xml:space="preserve">deletes a block that has not started). Past blocks stay for history but the screen lists only</w:t>
      </w:r>
      <w:r>
        <w:t xml:space="preserve"> </w:t>
      </w:r>
      <w:r>
        <w:t xml:space="preserve">blocks with</w:t>
      </w:r>
      <w:r>
        <w:t xml:space="preserve"> </w:t>
      </w:r>
      <w:r>
        <w:rPr>
          <w:rStyle w:val="VerbatimChar"/>
        </w:rPr>
        <w:t xml:space="preserve">ends_on &gt;= today</w:t>
      </w:r>
      <w:r>
        <w:t xml:space="preserve">. Agent-scoped RLS, writes through the</w:t>
      </w:r>
      <w:r>
        <w:t xml:space="preserve"> </w:t>
      </w:r>
      <w:r>
        <w:rPr>
          <w:rStyle w:val="VerbatimChar"/>
        </w:rPr>
        <w:t xml:space="preserve">agent-settings</w:t>
      </w:r>
      <w:r>
        <w:t xml:space="preserve"> </w:t>
      </w:r>
      <w:r>
        <w:t xml:space="preserve">Edge</w:t>
      </w:r>
      <w:r>
        <w:t xml:space="preserve"> </w:t>
      </w:r>
      <w:r>
        <w:t xml:space="preserve">Function with an</w:t>
      </w:r>
      <w:r>
        <w:t xml:space="preserve"> </w:t>
      </w:r>
      <w:r>
        <w:rPr>
          <w:rStyle w:val="VerbatimChar"/>
        </w:rPr>
        <w:t xml:space="preserve">audit_event</w:t>
      </w:r>
      <w:r>
        <w:t xml:space="preserve"> </w:t>
      </w:r>
      <w:r>
        <w:t xml:space="preserve">row each.</w:t>
      </w:r>
    </w:p>
    <w:p>
      <w:r>
        <w:pict>
          <v:rect style="width:0;height:1.5pt" o:hralign="center" o:hrstd="t" o:hr="t"/>
        </w:pict>
      </w:r>
    </w:p>
    <w:bookmarkEnd w:id="36"/>
    <w:bookmarkEnd w:id="37"/>
    <w:bookmarkStart w:id="49"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8"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8"/>
    <w:bookmarkStart w:id="39"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9"/>
    <w:bookmarkStart w:id="40"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40"/>
    <w:bookmarkStart w:id="44"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1"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1"/>
    <w:bookmarkStart w:id="42"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2"/>
    <w:bookmarkStart w:id="43"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3"/>
    <w:bookmarkEnd w:id="44"/>
    <w:bookmarkStart w:id="45"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5"/>
    <w:bookmarkStart w:id="46"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6"/>
    <w:bookmarkStart w:id="47"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7"/>
    <w:bookmarkStart w:id="48"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8"/>
    <w:bookmarkEnd w:id="49"/>
    <w:bookmarkStart w:id="56"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50"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50"/>
    <w:bookmarkStart w:id="51"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1"/>
    <w:bookmarkStart w:id="52"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2"/>
    <w:bookmarkStart w:id="53"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3"/>
    <w:bookmarkStart w:id="55"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4"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4"/>
    <w:bookmarkEnd w:id="55"/>
    <w:bookmarkEnd w:id="56"/>
    <w:bookmarkStart w:id="60" w:name="commission-domain"/>
    <w:p>
      <w:pPr>
        <w:pStyle w:val="Heading2"/>
      </w:pPr>
      <w:r>
        <w:t xml:space="preserve">10. Commission Domain</w:t>
      </w:r>
    </w:p>
    <w:bookmarkStart w:id="57"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7"/>
    <w:bookmarkStart w:id="58"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8"/>
    <w:bookmarkStart w:id="59"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9"/>
    <w:bookmarkEnd w:id="60"/>
    <w:bookmarkStart w:id="63"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61"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1"/>
    <w:bookmarkStart w:id="62"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2"/>
    <w:bookmarkEnd w:id="63"/>
    <w:bookmarkStart w:id="74" w:name="communication-domain"/>
    <w:p>
      <w:pPr>
        <w:pStyle w:val="Heading2"/>
      </w:pPr>
      <w:r>
        <w:t xml:space="preserve">12. Communication Domain</w:t>
      </w:r>
    </w:p>
    <w:bookmarkStart w:id="64"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4"/>
    <w:bookmarkStart w:id="65"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5"/>
    <w:bookmarkStart w:id="66"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6"/>
    <w:bookmarkStart w:id="67"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7"/>
    <w:bookmarkStart w:id="68"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w:t>
            </w:r>
            <w:r>
              <w:t xml:space="preserve">. Agent categories (§3.12.3):</w:t>
            </w:r>
            <w:r>
              <w:t xml:space="preserve"> </w:t>
            </w:r>
            <w:r>
              <w:rPr>
                <w:rStyle w:val="VerbatimChar"/>
              </w:rPr>
              <w:t xml:space="preserve">messages</w:t>
            </w:r>
            <w:r>
              <w:t xml:space="preserve"> </w:t>
            </w:r>
            <w:r>
              <w:t xml:space="preserve">(default push on, email off) and</w:t>
            </w:r>
            <w:r>
              <w:t xml:space="preserve"> </w:t>
            </w:r>
            <w:r>
              <w:rPr>
                <w:rStyle w:val="VerbatimChar"/>
              </w:rPr>
              <w:t xml:space="preserve">quote_requests</w:t>
            </w:r>
            <w:r>
              <w:t xml:space="preserve"> </w:t>
            </w:r>
            <w:r>
              <w:t xml:space="preserve">(push on, email on). No</w:t>
            </w:r>
            <w:r>
              <w:t xml:space="preserve"> </w:t>
            </w:r>
            <w:r>
              <w:rPr>
                <w:rStyle w:val="VerbatimChar"/>
              </w:rPr>
              <w:t xml:space="preserve">sms</w:t>
            </w:r>
            <w:r>
              <w:t xml:space="preserve">: there is no SMS provider</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For an agent, rest hours are the working hours</w:t>
      </w:r>
      <w:r>
        <w:t xml:space="preserve"> </w:t>
      </w:r>
      <w:r>
        <w:t xml:space="preserve">in</w:t>
      </w:r>
      <w:r>
        <w:t xml:space="preserve"> </w:t>
      </w:r>
      <w:r>
        <w:rPr>
          <w:rStyle w:val="VerbatimChar"/>
        </w:rPr>
        <w:t xml:space="preserve">agent_availability.weekly_schedule</w:t>
      </w:r>
      <w:r>
        <w:t xml:space="preserve"> </w:t>
      </w:r>
      <w:r>
        <w:t xml:space="preserve">(§3.12.2, ruled 2026-10-17, applied in §3.12 PR 2), and out-of-office (§7.5) is rest too;</w:t>
      </w:r>
      <w:r>
        <w:t xml:space="preserve"> </w:t>
      </w:r>
      <w:r>
        <w:rPr>
          <w:rStyle w:val="VerbatimChar"/>
        </w:rPr>
        <w:t xml:space="preserve">quiet_hours_*</w:t>
      </w:r>
      <w:r>
        <w:t xml:space="preserve"> </w:t>
      </w:r>
      <w:r>
        <w:t xml:space="preserve">is not used for agents. Until PR 2 lands, rest hours stay 9pm to 7am and all</w:t>
      </w:r>
      <w:r>
        <w:t xml:space="preserve"> </w:t>
      </w:r>
      <w:r>
        <w:t xml:space="preserve">of Sunday (§3.10 Stage 3b, Gyasi 2026-10-15), which is exactly the working-hours default.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8"/>
    <w:bookmarkStart w:id="69"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9"/>
    <w:bookmarkStart w:id="70"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70"/>
    <w:bookmarkStart w:id="71"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1"/>
    <w:bookmarkStart w:id="72"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2"/>
    <w:bookmarkStart w:id="73"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3"/>
    <w:bookmarkEnd w:id="74"/>
    <w:bookmarkStart w:id="76" w:name="document-domain"/>
    <w:p>
      <w:pPr>
        <w:pStyle w:val="Heading2"/>
      </w:pPr>
      <w:r>
        <w:t xml:space="preserve">13. Document Domain</w:t>
      </w:r>
    </w:p>
    <w:bookmarkStart w:id="75"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5"/>
    <w:bookmarkEnd w:id="76"/>
    <w:bookmarkStart w:id="79" w:name="search-favorites-domain"/>
    <w:p>
      <w:pPr>
        <w:pStyle w:val="Heading2"/>
      </w:pPr>
      <w:r>
        <w:t xml:space="preserve">14. Search &amp; Favorites Domain</w:t>
      </w:r>
    </w:p>
    <w:bookmarkStart w:id="77"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7"/>
    <w:bookmarkStart w:id="78"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8"/>
    <w:bookmarkEnd w:id="79"/>
    <w:bookmarkStart w:id="83" w:name="system-audit-domain"/>
    <w:p>
      <w:pPr>
        <w:pStyle w:val="Heading2"/>
      </w:pPr>
      <w:r>
        <w:t xml:space="preserve">15. System / Audit Domain</w:t>
      </w:r>
    </w:p>
    <w:bookmarkStart w:id="80"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80"/>
    <w:bookmarkStart w:id="81"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1"/>
    <w:bookmarkStart w:id="82"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2"/>
    <w:bookmarkEnd w:id="83"/>
    <w:bookmarkStart w:id="93"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4"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4"/>
    <w:bookmarkStart w:id="85"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5"/>
    <w:bookmarkStart w:id="86"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6"/>
    <w:bookmarkStart w:id="87"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8"/>
    <w:bookmarkStart w:id="89"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9"/>
    <w:bookmarkStart w:id="90"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0"/>
    <w:bookmarkStart w:id="91"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1"/>
    <w:bookmarkStart w:id="92"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2"/>
    <w:bookmarkEnd w:id="93"/>
    <w:bookmarkStart w:id="94"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4"/>
    <w:bookmarkStart w:id="102"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5"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5"/>
    <w:bookmarkStart w:id="96"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6"/>
    <w:bookmarkStart w:id="97"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7"/>
    <w:bookmarkStart w:id="98"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98"/>
    <w:bookmarkStart w:id="99"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99"/>
    <w:bookmarkStart w:id="100"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100"/>
    <w:bookmarkStart w:id="101"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1"/>
    <w:bookmarkEnd w:id="102"/>
    <w:bookmarkStart w:id="106"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3"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3"/>
    <w:bookmarkStart w:id="104"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4"/>
    <w:bookmarkStart w:id="105"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5"/>
    <w:bookmarkEnd w:id="106"/>
    <w:bookmarkStart w:id="111" w:name="audit-soft-delete-patterns"/>
    <w:p>
      <w:pPr>
        <w:pStyle w:val="Heading2"/>
      </w:pPr>
      <w:r>
        <w:t xml:space="preserve">20. Audit &amp; Soft-Delete Patterns</w:t>
      </w:r>
    </w:p>
    <w:bookmarkStart w:id="107"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7"/>
    <w:bookmarkStart w:id="108"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08"/>
    <w:bookmarkStart w:id="109"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09"/>
    <w:bookmarkStart w:id="110"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10"/>
    <w:bookmarkEnd w:id="111"/>
    <w:bookmarkStart w:id="118" w:name="X4ffe878ead72a31a1bc7aa1b9ddbbc119e37333"/>
    <w:p>
      <w:pPr>
        <w:pStyle w:val="Heading2"/>
      </w:pPr>
      <w:r>
        <w:t xml:space="preserve">21. Implementation Notes — KMP (Mobile) + TypeScript (Backend + Web)</w:t>
      </w:r>
    </w:p>
    <w:bookmarkStart w:id="112"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2"/>
    <w:bookmarkStart w:id="113"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3"/>
    <w:bookmarkStart w:id="114"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4"/>
    <w:bookmarkStart w:id="115"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5"/>
    <w:bookmarkStart w:id="116"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6"/>
    <w:bookmarkStart w:id="117"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7"/>
    <w:bookmarkEnd w:id="118"/>
    <w:bookmarkStart w:id="123" w:name="migration-versioning-strategy"/>
    <w:p>
      <w:pPr>
        <w:pStyle w:val="Heading2"/>
      </w:pPr>
      <w:r>
        <w:t xml:space="preserve">22. Migration &amp; Versioning Strategy</w:t>
      </w:r>
    </w:p>
    <w:bookmarkStart w:id="119"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9"/>
    <w:bookmarkStart w:id="120"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20"/>
    <w:bookmarkStart w:id="121"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1"/>
    <w:bookmarkStart w:id="122"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2"/>
    <w:bookmarkEnd w:id="123"/>
    <w:bookmarkStart w:id="124"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4"/>
    <w:bookmarkStart w:id="137"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5"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5"/>
    <w:bookmarkStart w:id="126"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6"/>
    <w:bookmarkStart w:id="127"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7"/>
    <w:bookmarkStart w:id="128"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8"/>
    <w:bookmarkStart w:id="129"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9"/>
    <w:bookmarkStart w:id="130"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30"/>
    <w:bookmarkStart w:id="131"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1"/>
    <w:bookmarkStart w:id="132"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2"/>
    <w:bookmarkStart w:id="133"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3"/>
    <w:bookmarkStart w:id="134"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4"/>
    <w:bookmarkStart w:id="135"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5"/>
    <w:bookmarkStart w:id="136"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6"/>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2026-10-17T09:27:45Z</dcterms:created>
  <dcterms:modified xsi:type="dcterms:W3CDTF">2026-10-17T09:27:45Z</dcterms:modified>
</cp:coreProperties>
</file>

<file path=docProps/custom.xml><?xml version="1.0" encoding="utf-8"?>
<Properties xmlns="http://schemas.openxmlformats.org/officeDocument/2006/custom-properties" xmlns:vt="http://schemas.openxmlformats.org/officeDocument/2006/docPropsVTypes"/>
</file>