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lang w:val="bg-BG" w:eastAsia="bg-BG"/>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lang w:val="bg-BG" w:eastAsia="bg-BG"/>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lang w:val="bg-BG" w:eastAsia="bg-BG"/>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lang w:val="bg-BG" w:eastAsia="bg-BG"/>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lang w:val="bg-BG" w:eastAsia="bg-BG"/>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lang w:val="bg-BG" w:eastAsia="bg-BG"/>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lastRenderedPageBreak/>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lastRenderedPageBreak/>
              <w:t>Orange =&gt; 2</w:t>
            </w:r>
          </w:p>
          <w:p w:rsidR="007711AA" w:rsidRPr="0095466F" w:rsidRDefault="007711AA" w:rsidP="000833AD">
            <w:pPr>
              <w:spacing w:before="0" w:after="0"/>
              <w:rPr>
                <w:bCs/>
                <w:noProof/>
              </w:rPr>
            </w:pPr>
            <w:r>
              <w:rPr>
                <w:bCs/>
                <w:noProof/>
              </w:rPr>
              <w:lastRenderedPageBreak/>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lastRenderedPageBreak/>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lastRenderedPageBreak/>
              <w:t>Pear =&gt; 8</w:t>
            </w:r>
          </w:p>
          <w:p w:rsidR="006B10A7" w:rsidRDefault="006B10A7" w:rsidP="00711F1E">
            <w:pPr>
              <w:spacing w:before="0" w:after="0"/>
              <w:rPr>
                <w:bCs/>
                <w:noProof/>
              </w:rPr>
            </w:pPr>
            <w:r>
              <w:rPr>
                <w:bCs/>
                <w:noProof/>
              </w:rPr>
              <w:lastRenderedPageBreak/>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lastRenderedPageBreak/>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5B783F" w:rsidRDefault="00157F68" w:rsidP="005B783F">
      <w:pPr>
        <w:pStyle w:val="ListParagraph"/>
        <w:numPr>
          <w:ilvl w:val="0"/>
          <w:numId w:val="15"/>
        </w:numPr>
      </w:pPr>
      <w:r>
        <w:t xml:space="preserve">The </w:t>
      </w:r>
      <w:r w:rsidRPr="00860D05">
        <w:rPr>
          <w:b/>
        </w:rPr>
        <w:t>Map structure</w:t>
      </w:r>
      <w:r>
        <w:t xml:space="preserve"> should be perfect for this problem.</w:t>
      </w:r>
      <w:bookmarkStart w:id="0" w:name="_GoBack"/>
      <w:bookmarkEnd w:id="0"/>
    </w:p>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6FA" w:rsidRDefault="00B156FA" w:rsidP="008068A2">
      <w:pPr>
        <w:spacing w:after="0" w:line="240" w:lineRule="auto"/>
      </w:pPr>
      <w:r>
        <w:separator/>
      </w:r>
    </w:p>
  </w:endnote>
  <w:endnote w:type="continuationSeparator" w:id="0">
    <w:p w:rsidR="00B156FA" w:rsidRDefault="00B156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B1E5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3F1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3F1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3F1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3F11">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6FA" w:rsidRDefault="00B156FA" w:rsidP="008068A2">
      <w:pPr>
        <w:spacing w:after="0" w:line="240" w:lineRule="auto"/>
      </w:pPr>
      <w:r>
        <w:separator/>
      </w:r>
    </w:p>
  </w:footnote>
  <w:footnote w:type="continuationSeparator" w:id="0">
    <w:p w:rsidR="00B156FA" w:rsidRDefault="00B156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156FA"/>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83F11"/>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419C5"/>
  <w15:docId w15:val="{71B1E772-E1D8-417D-985E-39CAD9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ED03A-1EF4-4903-91C2-F009D766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5558</TotalTime>
  <Pages>1</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Stoyan Nedkov</cp:lastModifiedBy>
  <cp:revision>106</cp:revision>
  <cp:lastPrinted>2015-10-26T22:35:00Z</cp:lastPrinted>
  <dcterms:created xsi:type="dcterms:W3CDTF">2016-06-17T07:37:00Z</dcterms:created>
  <dcterms:modified xsi:type="dcterms:W3CDTF">2018-02-09T01:49:00Z</dcterms:modified>
  <cp:category>programming, education, software engineering, software development</cp:category>
</cp:coreProperties>
</file>