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Arial" w:cs="Arial" w:eastAsia="Arial" w:hAnsi="Arial"/>
          <w:b/>
          <w:bCs/>
          <w:color w:val="1F3A5F"/>
          <w:sz w:val="56"/>
          <w:szCs w:val="56"/>
        </w:rPr>
        <w:t xml:space="preserve">Valet 2026 i Landskrona</w:t>
      </w:r>
    </w:p>
    <w:p>
      <w:pPr>
        <w:spacing w:after="600"/>
      </w:pPr>
      <w:r>
        <w:rPr>
          <w:rFonts w:ascii="Arial" w:cs="Arial" w:eastAsia="Arial" w:hAnsi="Arial"/>
          <w:color w:val="444444"/>
          <w:sz w:val="28"/>
          <w:szCs w:val="28"/>
        </w:rPr>
        <w:t xml:space="preserve">Resultat per valdistrikt i kommun-, region- och riksdagsvalet – och utvecklingen 2006–2026</w:t>
      </w:r>
    </w:p>
    <w:p>
      <w:pPr>
        <w:spacing w:after="120" w:line="288"/>
        <w:rPr>
          <w:color w:val="555555"/>
        </w:rPr>
      </w:pPr>
      <w:r>
        <w:rPr>
          <w:rFonts w:ascii="Arial" w:cs="Arial" w:eastAsia="Arial" w:hAnsi="Arial"/>
          <w:color w:val="555555"/>
          <w:sz w:val="21"/>
          <w:szCs w:val="21"/>
        </w:rPr>
        <w:t xml:space="preserve">Underlag: Valmyndighetens slutliga valresultat per valdistrikt 2006–2026 samt SCB:s valanalys 2026.</w:t>
      </w:r>
    </w:p>
    <w:p>
      <w:pPr>
        <w:spacing w:after="120" w:line="288"/>
        <w:rPr>
          <w:color w:val="555555"/>
        </w:rPr>
      </w:pPr>
      <w:r>
        <w:rPr>
          <w:rFonts w:ascii="Arial" w:cs="Arial" w:eastAsia="Arial" w:hAnsi="Arial"/>
          <w:color w:val="555555"/>
          <w:sz w:val="21"/>
          <w:szCs w:val="21"/>
        </w:rPr>
        <w:t xml:space="preserve">Datum: 16 oktober 2026</w:t>
      </w:r>
    </w:p>
    <w:p>
      <w:r>
        <w:br w:type="page"/>
      </w:r>
    </w:p>
    <w:p>
      <w:pPr>
        <w:pStyle w:val="Heading1"/>
      </w:pPr>
      <w:r>
        <w:t xml:space="preserve">Innehåll</w:t>
      </w:r>
    </w:p>
    <w:sdt>
      <w:sdtPr>
        <w:alias w:val="Innehåll"/>
      </w:sdtPr>
      <w:sdtContent>
        <w:p>
          <w:r>
            <w:fldChar w:fldCharType="begin" w:dirty="true"/>
            <w:instrText xml:space="preserve">TOC \h \o "1-2"</w:instrText>
            <w:fldChar w:fldCharType="separate"/>
          </w:r>
        </w:p>
        <w:p>
          <w:r>
            <w:fldChar w:fldCharType="end"/>
          </w:r>
        </w:p>
      </w:sdtContent>
    </w:sdt>
    <w:p>
      <w:pPr>
        <w:spacing w:after="200"/>
      </w:pPr>
      <w:r>
        <w:rPr>
          <w:rFonts w:ascii="Arial" w:cs="Arial" w:eastAsia="Arial" w:hAnsi="Arial"/>
          <w:i/>
          <w:iCs/>
          <w:color w:val="666666"/>
          <w:sz w:val="16"/>
          <w:szCs w:val="16"/>
        </w:rPr>
        <w:t xml:space="preserve">Innehållsförteckningen uppdateras i Word med högerklick → Uppdatera fält.</w:t>
      </w:r>
    </w:p>
    <w:p>
      <w:pPr>
        <w:pStyle w:val="Heading1"/>
        <w:pageBreakBefore/>
      </w:pPr>
      <w:r>
        <w:t xml:space="preserve">1. Sammanfattning</w:t>
      </w:r>
    </w:p>
    <w:p>
      <w:pPr>
        <w:spacing w:after="120" w:line="288"/>
      </w:pPr>
      <w:r>
        <w:rPr>
          <w:rFonts w:ascii="Arial" w:cs="Arial" w:eastAsia="Arial" w:hAnsi="Arial"/>
          <w:sz w:val="21"/>
          <w:szCs w:val="21"/>
        </w:rPr>
        <w:t xml:space="preserve">Valet den 13 september 2026 befäste Liberalernas ställning i Landskrona. Partiet fick 39,9 procent i kommunvalet, sitt bästa resultat under hela perioden 2006–2026, men bara 8,5 procent i riksdagsvalet. Landskronaborna röstar lokalt på Liberalerna och nationellt framför allt på S, SD och M.</w:t>
      </w:r>
    </w:p>
    <w:p>
      <w:pPr>
        <w:pStyle w:val="ListParagraph"/>
        <w:numPr>
          <w:ilvl w:val="0"/>
          <w:numId w:val="2"/>
        </w:numPr>
        <w:spacing w:after="80" w:line="276"/>
      </w:pPr>
      <w:r>
        <w:rPr>
          <w:rFonts w:ascii="Arial" w:cs="Arial" w:eastAsia="Arial" w:hAnsi="Arial"/>
          <w:b/>
          <w:bCs/>
          <w:sz w:val="21"/>
          <w:szCs w:val="21"/>
        </w:rPr>
        <w:t xml:space="preserve">Kommunvalet: </w:t>
      </w:r>
      <w:r>
        <w:rPr>
          <w:rFonts w:ascii="Arial" w:cs="Arial" w:eastAsia="Arial" w:hAnsi="Arial"/>
          <w:sz w:val="21"/>
          <w:szCs w:val="21"/>
        </w:rPr>
        <w:t xml:space="preserve">L 39,9 %, S 25,5 %, SD 14,0 %, V 6,7 %, M 6,0 %. Fullmäktige utökades från 51 till 61 platser. L, M och MP har 32 mandat och därmed egen majoritet.</w:t>
      </w:r>
    </w:p>
    <w:p>
      <w:pPr>
        <w:pStyle w:val="ListParagraph"/>
        <w:numPr>
          <w:ilvl w:val="0"/>
          <w:numId w:val="2"/>
        </w:numPr>
        <w:spacing w:after="80" w:line="276"/>
      </w:pPr>
      <w:r>
        <w:rPr>
          <w:rFonts w:ascii="Arial" w:cs="Arial" w:eastAsia="Arial" w:hAnsi="Arial"/>
          <w:b/>
          <w:bCs/>
          <w:sz w:val="21"/>
          <w:szCs w:val="21"/>
        </w:rPr>
        <w:t xml:space="preserve">Riksdagsvalet: </w:t>
      </w:r>
      <w:r>
        <w:rPr>
          <w:rFonts w:ascii="Arial" w:cs="Arial" w:eastAsia="Arial" w:hAnsi="Arial"/>
          <w:sz w:val="21"/>
          <w:szCs w:val="21"/>
        </w:rPr>
        <w:t xml:space="preserve">S 30,2 %, SD 22,9 % (−4,6), M 17,1 %, V 8,7 % (+3,9).</w:t>
      </w:r>
    </w:p>
    <w:p>
      <w:pPr>
        <w:pStyle w:val="ListParagraph"/>
        <w:numPr>
          <w:ilvl w:val="0"/>
          <w:numId w:val="2"/>
        </w:numPr>
        <w:spacing w:after="80" w:line="276"/>
      </w:pPr>
      <w:r>
        <w:rPr>
          <w:rFonts w:ascii="Arial" w:cs="Arial" w:eastAsia="Arial" w:hAnsi="Arial"/>
          <w:b/>
          <w:bCs/>
          <w:sz w:val="21"/>
          <w:szCs w:val="21"/>
        </w:rPr>
        <w:t xml:space="preserve">Regionvalet: </w:t>
      </w:r>
      <w:r>
        <w:rPr>
          <w:rFonts w:ascii="Arial" w:cs="Arial" w:eastAsia="Arial" w:hAnsi="Arial"/>
          <w:sz w:val="21"/>
          <w:szCs w:val="21"/>
        </w:rPr>
        <w:t xml:space="preserve">S 33,0 %, SD 18,1 %, M 17,7 %, L 11,1 %, V 9,0 %.</w:t>
      </w:r>
    </w:p>
    <w:p>
      <w:pPr>
        <w:pStyle w:val="ListParagraph"/>
        <w:numPr>
          <w:ilvl w:val="0"/>
          <w:numId w:val="2"/>
        </w:numPr>
        <w:spacing w:after="80" w:line="276"/>
      </w:pPr>
      <w:r>
        <w:rPr>
          <w:rFonts w:ascii="Arial" w:cs="Arial" w:eastAsia="Arial" w:hAnsi="Arial"/>
          <w:b/>
          <w:bCs/>
          <w:sz w:val="21"/>
          <w:szCs w:val="21"/>
        </w:rPr>
        <w:t xml:space="preserve">Tjugo år: </w:t>
      </w:r>
      <w:r>
        <w:rPr>
          <w:rFonts w:ascii="Arial" w:cs="Arial" w:eastAsia="Arial" w:hAnsi="Arial"/>
          <w:sz w:val="21"/>
          <w:szCs w:val="21"/>
        </w:rPr>
        <w:t xml:space="preserve">Liberalerna (tidigare FP) har gått från 22,5 % till 39,9 % i kommunvalet och från 12 till 26 mandat. Socialdemokraterna har gått från 40,8 % till 30,2 % i riksdagsvalet. SD var redan 2006 stort lokalt (22,3 % i kommunvalet) och nådde sin topp i riksdagsvalet 2022 med 27,4 %.</w:t>
      </w:r>
    </w:p>
    <w:p>
      <w:pPr>
        <w:pStyle w:val="ListParagraph"/>
        <w:numPr>
          <w:ilvl w:val="0"/>
          <w:numId w:val="2"/>
        </w:numPr>
        <w:spacing w:after="80" w:line="276"/>
      </w:pPr>
      <w:r>
        <w:rPr>
          <w:rFonts w:ascii="Arial" w:cs="Arial" w:eastAsia="Arial" w:hAnsi="Arial"/>
          <w:b/>
          <w:bCs/>
          <w:sz w:val="21"/>
          <w:szCs w:val="21"/>
        </w:rPr>
        <w:t xml:space="preserve">Vänsterpartiet </w:t>
      </w:r>
      <w:r>
        <w:rPr>
          <w:rFonts w:ascii="Arial" w:cs="Arial" w:eastAsia="Arial" w:hAnsi="Arial"/>
          <w:sz w:val="21"/>
          <w:szCs w:val="21"/>
        </w:rPr>
        <w:t xml:space="preserve">fick 8,7 % i riksdagsvalet, det högsta i serien. Ökningen är koncentrerad till Norrestad, Weibullsholm, Dammhagen och Gustav Adolf, där Partiet Nyans var starkt 2022.</w:t>
      </w:r>
    </w:p>
    <w:p>
      <w:pPr>
        <w:pStyle w:val="ListParagraph"/>
        <w:numPr>
          <w:ilvl w:val="0"/>
          <w:numId w:val="2"/>
        </w:numPr>
        <w:spacing w:after="80" w:line="276"/>
      </w:pPr>
      <w:r>
        <w:rPr>
          <w:rFonts w:ascii="Arial" w:cs="Arial" w:eastAsia="Arial" w:hAnsi="Arial"/>
          <w:b/>
          <w:bCs/>
          <w:sz w:val="21"/>
          <w:szCs w:val="21"/>
        </w:rPr>
        <w:t xml:space="preserve">Geografi: </w:t>
      </w:r>
      <w:r>
        <w:rPr>
          <w:rFonts w:ascii="Arial" w:cs="Arial" w:eastAsia="Arial" w:hAnsi="Arial"/>
          <w:sz w:val="21"/>
          <w:szCs w:val="21"/>
        </w:rPr>
        <w:t xml:space="preserve">Villaområdena längs kusten (Norra Borstahusen, Svaneholm, Drottningen) röstar över 55 % på L i kommunvalet. Stadens norra och östra delar har låg valdeltagande och starkt stöd för S och V. SD är starkast på landsbygden i öster.</w:t>
      </w:r>
    </w:p>
    <w:p>
      <w:pPr>
        <w:pStyle w:val="ListParagraph"/>
        <w:numPr>
          <w:ilvl w:val="0"/>
          <w:numId w:val="2"/>
        </w:numPr>
        <w:spacing w:after="80" w:line="276"/>
      </w:pPr>
      <w:r>
        <w:rPr>
          <w:rFonts w:ascii="Arial" w:cs="Arial" w:eastAsia="Arial" w:hAnsi="Arial"/>
          <w:b/>
          <w:bCs/>
          <w:sz w:val="21"/>
          <w:szCs w:val="21"/>
        </w:rPr>
        <w:t xml:space="preserve">Bakgrund: </w:t>
      </w:r>
      <w:r>
        <w:rPr>
          <w:rFonts w:ascii="Arial" w:cs="Arial" w:eastAsia="Arial" w:hAnsi="Arial"/>
          <w:sz w:val="21"/>
          <w:szCs w:val="21"/>
        </w:rPr>
        <w:t xml:space="preserve">Andelen utrikes födda, inkomstnivån och utbildningsnivån följer partivalet mycket tydligt för S, V, L och M (|r| 0,6–0,95), men knappt alls för SD.</w:t>
      </w:r>
    </w:p>
    <w:p>
      <w:pPr>
        <w:pStyle w:val="ListParagraph"/>
        <w:numPr>
          <w:ilvl w:val="0"/>
          <w:numId w:val="2"/>
        </w:numPr>
        <w:spacing w:after="80" w:line="276"/>
      </w:pPr>
      <w:r>
        <w:rPr>
          <w:rFonts w:ascii="Arial" w:cs="Arial" w:eastAsia="Arial" w:hAnsi="Arial"/>
          <w:b/>
          <w:bCs/>
          <w:sz w:val="21"/>
          <w:szCs w:val="21"/>
        </w:rPr>
        <w:t xml:space="preserve">Valdeltagandet </w:t>
      </w:r>
      <w:r>
        <w:rPr>
          <w:rFonts w:ascii="Arial" w:cs="Arial" w:eastAsia="Arial" w:hAnsi="Arial"/>
          <w:sz w:val="21"/>
          <w:szCs w:val="21"/>
        </w:rPr>
        <w:t xml:space="preserve">var 78,0 % i kommunvalet och 80,5 % i riksdagsvalet, en ökning från 2022 men under toppåret 2018. Det varierar mellan 58 och 92 % mellan distrikten.</w:t>
      </w:r>
    </w:p>
    <w:p>
      <w:pPr>
        <w:pStyle w:val="Heading1"/>
        <w:pageBreakBefore/>
      </w:pPr>
      <w:r>
        <w:t xml:space="preserve">2. Resultat 2026</w:t>
      </w:r>
    </w:p>
    <w:p>
      <w:pPr>
        <w:spacing w:after="120" w:line="288"/>
      </w:pPr>
      <w:r>
        <w:rPr>
          <w:rFonts w:ascii="Arial" w:cs="Arial" w:eastAsia="Arial" w:hAnsi="Arial"/>
          <w:sz w:val="21"/>
          <w:szCs w:val="21"/>
        </w:rPr>
        <w:t xml:space="preserve">Tabellerna visar Landskronas resultat i de tre valen 2026, med jämförelse mot 2022. Förändringen anges i procentenheter.</w:t>
      </w:r>
    </w:p>
    <w:p>
      <w:pPr>
        <w:pStyle w:val="Heading2"/>
      </w:pPr>
      <w:r>
        <w:t xml:space="preserve">2.1 Kommunvalet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100"/>
        <w:gridCol w:w="1100"/>
        <w:gridCol w:w="1100"/>
        <w:gridCol w:w="1100"/>
        <w:gridCol w:w="1000"/>
        <w:gridCol w:w="1000"/>
      </w:tblGrid>
      <w:tr>
        <w:trPr>
          <w:tblHeader/>
        </w:trPr>
        <w:tc>
          <w:tcPr>
            <w:tcW w:type="dxa" w:w="26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Röster 2026</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2026</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2022</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Förändring</w:t>
            </w:r>
          </w:p>
        </w:tc>
        <w:tc>
          <w:tcPr>
            <w:tcW w:type="dxa" w:w="10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Mandat 2026</w:t>
            </w:r>
          </w:p>
        </w:tc>
        <w:tc>
          <w:tcPr>
            <w:tcW w:type="dxa" w:w="10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Mandat 2022</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11 486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39,9 %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37,8 %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+2,1</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26</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20</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7 336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25,5 %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23,1 %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16</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12</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4 041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14,0 %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18,5 %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−4,5</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1 929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6,7 %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4,3 %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1 736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6,0 %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7,0 %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1 066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3,2 %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+0,5</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Visionpartiet</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435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1,5 %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0,0 %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+1,5</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357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1,2 %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1,8 %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−0,6</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300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1,2 %</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−0,2</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w:t>
            </w:r>
          </w:p>
        </w:tc>
        <w:tc>
          <w:tcPr>
            <w:tcW w:type="dxa" w:w="10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Övriga partier (inkl. PNy 2022)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106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0,4 %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3,0 %</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−2,7</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w:t>
            </w:r>
          </w:p>
        </w:tc>
        <w:tc>
          <w:tcPr>
            <w:tcW w:type="dxa" w:w="10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w:t>
            </w:r>
          </w:p>
        </w:tc>
      </w:tr>
    </w:tbl>
    <w:p>
      <w:pPr>
        <w:spacing w:after="120"/>
      </w:pPr>
    </w:p>
    <w:p>
      <w:pPr>
        <w:spacing w:after="120" w:line="288"/>
      </w:pPr>
      <w:r>
        <w:rPr>
          <w:rFonts w:ascii="Arial" w:cs="Arial" w:eastAsia="Arial" w:hAnsi="Arial"/>
          <w:sz w:val="21"/>
          <w:szCs w:val="21"/>
        </w:rPr>
        <w:t xml:space="preserve">Liberalerna ökade med 2,1 procentenheter och sex mandat. Socialdemokraterna ökade med fyra mandat och Vänsterpartiet med två, medan SD tappade ett och Partiet Nyans föll ur fullmäktige. Styret med L, M och MP fortsätter, nu med egen majoritet (32 av 61).</w:t>
      </w:r>
    </w:p>
    <w:p>
      <w:pPr>
        <w:pStyle w:val="Heading2"/>
      </w:pPr>
      <w:r>
        <w:t xml:space="preserve">2.2 Regionvalet (Landskronas röster)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Röster 2026</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2026</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2022</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Förändring</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9 403</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33,0 %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32,9 %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+0,2</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5 137</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18,1 %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21,1 %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5 049</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17,7 %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16,8 %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+0,9</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3 146</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11,1 %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10,4 %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+0,6</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2 563</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9,0 %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5,5 %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+3,5</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1 341</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4,7 %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4,8 %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−0,1</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934</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3,3 %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2,4 %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+0,9</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686</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2,8 %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−0,4</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Övriga partier (inkl. PNy 2022)</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198</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0,7 %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−2,5</w:t>
            </w:r>
          </w:p>
        </w:tc>
      </w:tr>
    </w:tbl>
    <w:p>
      <w:pPr>
        <w:spacing w:after="120"/>
      </w:pPr>
    </w:p>
    <w:p>
      <w:pPr>
        <w:pStyle w:val="Heading2"/>
      </w:pPr>
      <w:r>
        <w:t xml:space="preserve">2.3 Riksdagsvalet (Landskronas röster)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350"/>
        <w:gridCol w:w="1350"/>
        <w:gridCol w:w="1350"/>
        <w:gridCol w:w="1350"/>
      </w:tblGrid>
      <w:tr>
        <w:trPr>
          <w:tblHeader/>
        </w:trPr>
        <w:tc>
          <w:tcPr>
            <w:tcW w:type="dxa" w:w="36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Röster 2026</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2026</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Andel 2022</w:t>
            </w:r>
          </w:p>
        </w:tc>
        <w:tc>
          <w:tcPr>
            <w:tcW w:type="dxa" w:w="13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Förändring</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8 559</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30,2 %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31,1 %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−0,8</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6 466</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22,9 %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27,4 %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−4,6</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4 845</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17,1 %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17,3 %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−0,2</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2 454</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8,7 %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4,8 %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+3,9</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2 394</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8,5 %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6,1 %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+2,4</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1 098</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3,9 %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3,8 %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+0,1</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1 099</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3,6 %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+0,3</w:t>
            </w:r>
          </w:p>
        </w:tc>
      </w:tr>
      <w:tr>
        <w:tc>
          <w:tcPr>
            <w:tcW w:type="dxa" w:w="3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1 041</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3,1 %</w:t>
            </w:r>
          </w:p>
        </w:tc>
        <w:tc>
          <w:tcPr>
            <w:tcW w:type="dxa" w:w="13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+0,6</w:t>
            </w:r>
          </w:p>
        </w:tc>
      </w:tr>
      <w:tr>
        <w:tc>
          <w:tcPr>
            <w:tcW w:type="dxa" w:w="3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Övriga partier (inkl. PNy 2022)</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343</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2,8 %</w:t>
            </w:r>
          </w:p>
        </w:tc>
        <w:tc>
          <w:tcPr>
            <w:tcW w:type="dxa" w:w="13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−1,6</w:t>
            </w:r>
          </w:p>
        </w:tc>
      </w:tr>
    </w:tbl>
    <w:p>
      <w:pPr>
        <w:spacing w:after="120"/>
      </w:pPr>
    </w:p>
    <w:p>
      <w:pPr>
        <w:spacing w:after="120" w:line="288"/>
      </w:pPr>
      <w:r>
        <w:rPr>
          <w:rFonts w:ascii="Arial" w:cs="Arial" w:eastAsia="Arial" w:hAnsi="Arial"/>
          <w:sz w:val="21"/>
          <w:szCs w:val="21"/>
        </w:rPr>
        <w:t xml:space="preserve">Valdeltagandet 2026 var 78,0 % i kommunvalet (+2,0), 77,6 % i regionvalet (+2,0) och 80,5 % i riksdagsvalet (+1,0). Skillnaden mellan valen beror främst på att utländska medborgare som varit folkbokförda i tre år får rösta i kommun- och regionval, och att de oftare avstår.</w:t>
      </w:r>
    </w:p>
    <w:p>
      <w:pPr>
        <w:pStyle w:val="Heading1"/>
        <w:pageBreakBefore/>
      </w:pPr>
      <w:r>
        <w:t xml:space="preserve">3. Utveckling 2006–2026</w:t>
      </w:r>
    </w:p>
    <w:p>
      <w:pPr>
        <w:spacing w:after="120" w:line="288"/>
      </w:pPr>
      <w:r>
        <w:rPr>
          <w:rFonts w:ascii="Arial" w:cs="Arial" w:eastAsia="Arial" w:hAnsi="Arial"/>
          <w:sz w:val="21"/>
          <w:szCs w:val="21"/>
        </w:rPr>
        <w:t xml:space="preserve">Kommuntotalerna är summerade från Valmyndighetens filer per valdistrikt och stämmer mot Valmyndighetens egna kommunsammanställningar. Folkpartiet liberalerna (FP) redovisas som L.</w:t>
      </w:r>
    </w:p>
    <w:p>
      <w:pPr>
        <w:pStyle w:val="Heading2"/>
      </w:pPr>
      <w:r>
        <w:t xml:space="preserve">3.1 Kommunvalet</w:t>
      </w:r>
    </w:p>
    <w:p>
      <w:pPr>
        <w:spacing w:after="60" w:before="120"/>
        <w:jc w:val="center"/>
      </w:pPr>
      <w:r>
        <w:drawing>
          <wp:inline distT="0" distB="0" distL="0" distR="0">
            <wp:extent cx="5715000" cy="3038475"/>
            <wp:effectExtent t="0" r="0" b="0" l="0"/>
            <wp:docPr id="1" name="linjer_KF.png" descr="linjer_KF.png" title="linjer_K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38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tblHeader/>
        </w:trPr>
        <w:tc>
          <w:tcPr>
            <w:tcW w:type="dxa" w:w="27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 (%)</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2006</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2010</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2014</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2018</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2022</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34,0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34,9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27,9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23,1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25,5</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13,5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10,8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6,0</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22,3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15,8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18,7</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19,3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14,0</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22,5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25,7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34,2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39,9</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6,7</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1,2</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0,7</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Visionpartiet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1,5</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Övriga partier</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0,4</w:t>
            </w:r>
          </w:p>
        </w:tc>
      </w:tr>
      <w:tr>
        <w:tc>
          <w:tcPr>
            <w:tcW w:type="dxa" w:w="2726"/>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7"/>
                <w:szCs w:val="17"/>
              </w:rPr>
              <w:t xml:space="preserve">Valdeltagande</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76,8</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77,7</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77,9</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79,8</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76,0</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78,0</w:t>
            </w:r>
          </w:p>
        </w:tc>
      </w:tr>
    </w:tbl>
    <w:p>
      <w:pPr>
        <w:spacing w:after="120"/>
      </w:pPr>
    </w:p>
    <w:p>
      <w:pPr>
        <w:spacing w:after="120" w:line="288"/>
      </w:pPr>
      <w:r>
        <w:rPr>
          <w:rFonts w:ascii="Arial" w:cs="Arial" w:eastAsia="Arial" w:hAnsi="Arial"/>
          <w:sz w:val="21"/>
          <w:szCs w:val="21"/>
        </w:rPr>
        <w:t xml:space="preserve">Liberalerna har varit största parti i kommunvalet sedan 2018 och har ökat i fyra av de fem valen efter 2006. Socialdemokraterna föll från 34,9 % 2014 till 23,1 % 2022 och ökade igen 2026. SD:s lokala stöd har legat stabilt kring 16–19 % sedan 2010 och föll 2026 till sin lägsta nivå. Moderaterna har mer än halverats, från 13,5 % till 6,0 %.</w:t>
      </w:r>
    </w:p>
    <w:p>
      <w:pPr>
        <w:pStyle w:val="Heading2"/>
      </w:pPr>
      <w:r>
        <w:t xml:space="preserve">3.2 Region- och landstingsvalet</w:t>
      </w:r>
    </w:p>
    <w:p>
      <w:pPr>
        <w:spacing w:after="60" w:before="120"/>
        <w:jc w:val="center"/>
      </w:pPr>
      <w:r>
        <w:drawing>
          <wp:inline distT="0" distB="0" distL="0" distR="0">
            <wp:extent cx="5715000" cy="3038475"/>
            <wp:effectExtent t="0" r="0" b="0" l="0"/>
            <wp:docPr id="1" name="linjer_RF.png" descr="linjer_RF.png" title="linjer_R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38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tblHeader/>
        </w:trPr>
        <w:tc>
          <w:tcPr>
            <w:tcW w:type="dxa" w:w="27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 (%)</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2006</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2010</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2014</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2018</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2022</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40,2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41,6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34,5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33,0</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20,9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20,7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13,8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15,7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16,8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17,7</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11,2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16,0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21,0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21,1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18,1</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14,1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16,3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11,1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11,1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10,4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11,1</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5,4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5,5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9,0</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4,7</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3,3</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Övriga partier</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0,7</w:t>
            </w:r>
          </w:p>
        </w:tc>
      </w:tr>
      <w:tr>
        <w:tc>
          <w:tcPr>
            <w:tcW w:type="dxa" w:w="2726"/>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7"/>
                <w:szCs w:val="17"/>
              </w:rPr>
              <w:t xml:space="preserve">Valdeltagande</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76,3</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77,1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77,6</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79,3</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75,6</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77,5</w:t>
            </w:r>
          </w:p>
        </w:tc>
      </w:tr>
    </w:tbl>
    <w:p>
      <w:pPr>
        <w:spacing w:after="120"/>
      </w:pPr>
    </w:p>
    <w:p>
      <w:pPr>
        <w:pStyle w:val="Heading2"/>
      </w:pPr>
      <w:r>
        <w:t xml:space="preserve">3.3 Riksdagsvalet</w:t>
      </w:r>
    </w:p>
    <w:p>
      <w:pPr>
        <w:spacing w:after="60" w:before="120"/>
        <w:jc w:val="center"/>
      </w:pPr>
      <w:r>
        <w:drawing>
          <wp:inline distT="0" distB="0" distL="0" distR="0">
            <wp:extent cx="5715000" cy="3038475"/>
            <wp:effectExtent t="0" r="0" b="0" l="0"/>
            <wp:docPr id="1" name="linjer_RD.png" descr="linjer_RD.png" title="linjer_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38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tblHeader/>
        </w:trPr>
        <w:tc>
          <w:tcPr>
            <w:tcW w:type="dxa" w:w="27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Parti (%)</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2006</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2010</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2014</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2018</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2022</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40,8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35,8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37,3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31,1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30,2</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24,2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28,2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19,9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17,6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17,3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17,1</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25,4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27,4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22,9</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12,2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11,7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6,1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8,5</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5,1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8,7</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3,9</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Kristdemokraterna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3,9</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5,0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3,7</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Övriga partier</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1,3</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w:t>
            </w:r>
          </w:p>
        </w:tc>
      </w:tr>
      <w:tr>
        <w:tc>
          <w:tcPr>
            <w:tcW w:type="dxa" w:w="2726"/>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7"/>
                <w:szCs w:val="17"/>
              </w:rPr>
              <w:t xml:space="preserve">Valdeltagande</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80,0</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81,8</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81,9</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83,5</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79,5</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80,5</w:t>
            </w:r>
          </w:p>
        </w:tc>
      </w:tr>
    </w:tbl>
    <w:p>
      <w:pPr>
        <w:spacing w:after="120"/>
      </w:pPr>
    </w:p>
    <w:p>
      <w:pPr>
        <w:spacing w:after="120" w:line="288"/>
      </w:pPr>
      <w:r>
        <w:rPr>
          <w:rFonts w:ascii="Arial" w:cs="Arial" w:eastAsia="Arial" w:hAnsi="Arial"/>
          <w:sz w:val="21"/>
          <w:szCs w:val="21"/>
        </w:rPr>
        <w:t xml:space="preserve">I riksdagsvalet har Landskrona följt den nationella trenden men med starkare utslag. SD växte från 8,2 % 2006 till 27,4 % 2022 och backade 2026 till 22,8 %. Moderaterna nådde sin topp 2010 (28,2 %). Socialdemokraterna är fortfarande störst men på en lägre nivå än 2006.</w:t>
      </w:r>
    </w:p>
    <w:p>
      <w:pPr>
        <w:pStyle w:val="Heading2"/>
      </w:pPr>
      <w:r>
        <w:t xml:space="preserve">3.4 Mandat i kommunfullmäktige</w:t>
      </w:r>
    </w:p>
    <w:p>
      <w:pPr>
        <w:spacing w:after="60" w:before="120"/>
        <w:jc w:val="center"/>
      </w:pPr>
      <w:r>
        <w:drawing>
          <wp:inline distT="0" distB="0" distL="0" distR="0">
            <wp:extent cx="5715000" cy="2857500"/>
            <wp:effectExtent t="0" r="0" b="0" l="0"/>
            <wp:docPr id="1" name="mandat.png" descr="mandat.png" title="mand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tblHeader/>
        </w:trPr>
        <w:tc>
          <w:tcPr>
            <w:tcW w:type="dxa" w:w="27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Mandat</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2006</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2010</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2014</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2018</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2022</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Socialdemokraterna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17</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14</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16</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Moderaterna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4</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Sverigedemokraterna</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9</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Liberalerna</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12</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15</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20</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Vänsterpartiet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4</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Centerpartiet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Miljöpartiet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2</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Partiet Nyans</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w:t>
            </w:r>
          </w:p>
        </w:tc>
      </w:tr>
      <w:tr>
        <w:tc>
          <w:tcPr>
            <w:tcW w:type="dxa" w:w="2726"/>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7"/>
                <w:szCs w:val="17"/>
              </w:rPr>
              <w:t xml:space="preserve">Totalt</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51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51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51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51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51</w:t>
            </w:r>
          </w:p>
        </w:tc>
        <w:tc>
          <w:tcPr>
            <w:tcW w:type="dxa" w:w="105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7"/>
                <w:szCs w:val="17"/>
              </w:rPr>
              <w:t xml:space="preserve">61</w:t>
            </w:r>
          </w:p>
        </w:tc>
      </w:tr>
    </w:tbl>
    <w:p>
      <w:pPr>
        <w:spacing w:after="120"/>
      </w:pPr>
    </w:p>
    <w:p>
      <w:pPr>
        <w:pStyle w:val="Heading2"/>
      </w:pPr>
      <w:r>
        <w:t xml:space="preserve">3.5 Valdeltagande</w:t>
      </w:r>
    </w:p>
    <w:p>
      <w:pPr>
        <w:spacing w:after="60" w:before="120"/>
        <w:jc w:val="center"/>
      </w:pPr>
      <w:r>
        <w:drawing>
          <wp:inline distT="0" distB="0" distL="0" distR="0">
            <wp:extent cx="5334000" cy="2333625"/>
            <wp:effectExtent t="0" r="0" b="0" l="0"/>
            <wp:docPr id="1" name="deltagande.png" descr="deltagande.png" title="deltagan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336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050"/>
        <w:gridCol w:w="1050"/>
        <w:gridCol w:w="1050"/>
        <w:gridCol w:w="1050"/>
        <w:gridCol w:w="1050"/>
        <w:gridCol w:w="1050"/>
      </w:tblGrid>
      <w:tr>
        <w:trPr>
          <w:tblHeader/>
        </w:trPr>
        <w:tc>
          <w:tcPr>
            <w:tcW w:type="dxa" w:w="27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7"/>
                <w:szCs w:val="17"/>
              </w:rPr>
              <w:t xml:space="preserve">Valdeltagande (%)</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2006</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2010</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2014</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2018</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2022</w:t>
            </w:r>
          </w:p>
        </w:tc>
        <w:tc>
          <w:tcPr>
            <w:tcW w:type="dxa" w:w="105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7"/>
                <w:szCs w:val="17"/>
              </w:rPr>
              <w:t xml:space="preserve">2026</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Kommunvalet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76,8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77,7</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77,9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79,8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76,0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78,0</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Regionvalet</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76,3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77,1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77,6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79,3</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75,6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77,5</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Riksdagsvalet</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80,0</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81,8</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81,9</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83,5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79,5</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80,5</w:t>
            </w:r>
          </w:p>
        </w:tc>
      </w:tr>
      <w:tr>
        <w:tc>
          <w:tcPr>
            <w:tcW w:type="dxa" w:w="27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7"/>
                <w:szCs w:val="17"/>
              </w:rPr>
              <w:t xml:space="preserve">Röstberättigade, riksdag</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29 228</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30 056</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31 279</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32 424</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34 011</w:t>
            </w:r>
          </w:p>
        </w:tc>
        <w:tc>
          <w:tcPr>
            <w:tcW w:type="dxa" w:w="105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7"/>
                <w:szCs w:val="17"/>
              </w:rPr>
              <w:t xml:space="preserve">35 507</w:t>
            </w:r>
          </w:p>
        </w:tc>
      </w:tr>
      <w:tr>
        <w:tc>
          <w:tcPr>
            <w:tcW w:type="dxa" w:w="27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7"/>
                <w:szCs w:val="17"/>
              </w:rPr>
              <w:t xml:space="preserve">Röstberättigade, kommun</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31 056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32 426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33 566</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34 701</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36 147</w:t>
            </w:r>
          </w:p>
        </w:tc>
        <w:tc>
          <w:tcPr>
            <w:tcW w:type="dxa" w:w="105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7"/>
                <w:szCs w:val="17"/>
              </w:rPr>
              <w:t xml:space="preserve">37 352</w:t>
            </w:r>
          </w:p>
        </w:tc>
      </w:tr>
    </w:tbl>
    <w:p>
      <w:pPr>
        <w:spacing w:after="120"/>
      </w:pPr>
    </w:p>
    <w:p>
      <w:pPr>
        <w:pStyle w:val="Heading1"/>
        <w:pageBreakBefore/>
      </w:pPr>
      <w:r>
        <w:t xml:space="preserve">4. Geografi</w:t>
      </w:r>
    </w:p>
    <w:p>
      <w:pPr>
        <w:pStyle w:val="Heading2"/>
      </w:pPr>
      <w:r>
        <w:t xml:space="preserve">4.1 Kommunens fyra delar över tid</w:t>
      </w:r>
    </w:p>
    <w:p>
      <w:pPr>
        <w:spacing w:after="120" w:line="288"/>
      </w:pPr>
      <w:r>
        <w:rPr>
          <w:rFonts w:ascii="Arial" w:cs="Arial" w:eastAsia="Arial" w:hAnsi="Arial"/>
          <w:sz w:val="21"/>
          <w:szCs w:val="21"/>
        </w:rPr>
        <w:t xml:space="preserve">Valdistrikten har ritats om flera gånger sedan 2006. För att kunna jämföra över tid är distrikten här sammanslagna till fyra delar vars yttre gränser varit i stort sett desamma: Landskrona stad, Ven, Annelöv–Häljarp–Asmundtorp och Glumslöv–Härslöv. Sena förtidsröster (uppsamlingsdistrikt) ingår inte.</w:t>
      </w:r>
    </w:p>
    <w:p>
      <w:pPr>
        <w:spacing w:after="60" w:before="120"/>
        <w:jc w:val="center"/>
      </w:pPr>
      <w:r>
        <w:drawing>
          <wp:inline distT="0" distB="0" distL="0" distR="0">
            <wp:extent cx="5905500" cy="2143125"/>
            <wp:effectExtent t="0" r="0" b="0" l="0"/>
            <wp:docPr id="1" name="omraden_RD.png" descr="omraden_RD.png" title="omraden_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143125"/>
                    </a:xfrm>
                    <a:prstGeom prst="rect">
                      <a:avLst/>
                    </a:prstGeom>
                  </pic:spPr>
                </pic:pic>
              </a:graphicData>
            </a:graphic>
          </wp:inline>
        </w:drawing>
      </w:r>
    </w:p>
    <w:p>
      <w:pPr>
        <w:spacing w:after="60" w:before="120"/>
        <w:jc w:val="center"/>
      </w:pPr>
      <w:r>
        <w:drawing>
          <wp:inline distT="0" distB="0" distL="0" distR="0">
            <wp:extent cx="5905500" cy="2143125"/>
            <wp:effectExtent t="0" r="0" b="0" l="0"/>
            <wp:docPr id="1" name="omraden_KF.png" descr="omraden_KF.png" title="omraden_K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143125"/>
                    </a:xfrm>
                    <a:prstGeom prst="rect">
                      <a:avLst/>
                    </a:prstGeom>
                  </pic:spPr>
                </pic:pic>
              </a:graphicData>
            </a:graphic>
          </wp:inline>
        </w:drawing>
      </w:r>
    </w:p>
    <w:p>
      <w:pPr>
        <w:spacing w:after="120" w:line="288"/>
      </w:pPr>
      <w:r>
        <w:rPr>
          <w:rFonts w:ascii="Arial" w:cs="Arial" w:eastAsia="Arial" w:hAnsi="Arial"/>
          <w:sz w:val="21"/>
          <w:szCs w:val="21"/>
        </w:rPr>
        <w:t xml:space="preserve">Den tydligaste förändringen är SD:s tillväxt på landsbygden i öster, där partiet nådde 34,7 % i riksdagsvalet 2022. I staden har S tappat men är fortfarande störst i riksdagsvalet, och V har ökat kraftigt 2026. Liberalerna är största parti i kommunvalet 2026 i alla fyra delarna.</w:t>
      </w:r>
    </w:p>
    <w:p>
      <w:pPr>
        <w:pStyle w:val="Heading2"/>
      </w:pPr>
      <w:r>
        <w:t xml:space="preserve">4.2 Kartor 2026</w:t>
      </w:r>
    </w:p>
    <w:p>
      <w:pPr>
        <w:spacing w:after="60" w:before="120"/>
        <w:jc w:val="center"/>
      </w:pPr>
      <w:r>
        <w:drawing>
          <wp:inline distT="0" distB="0" distL="0" distR="0">
            <wp:extent cx="5905500" cy="2952750"/>
            <wp:effectExtent t="0" r="0" b="0" l="0"/>
            <wp:docPr id="1" name="karta_KF_L.png" descr="karta_KF_L.png" title="karta_KF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w:pPr>
        <w:spacing w:after="60" w:before="120"/>
        <w:jc w:val="center"/>
      </w:pPr>
      <w:r>
        <w:drawing>
          <wp:inline distT="0" distB="0" distL="0" distR="0">
            <wp:extent cx="5905500" cy="2952750"/>
            <wp:effectExtent t="0" r="0" b="0" l="0"/>
            <wp:docPr id="1" name="karta_RD_S.png" descr="karta_RD_S.png" title="karta_RD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952750"/>
                    </a:xfrm>
                    <a:prstGeom prst="rect">
                      <a:avLst/>
                    </a:prstGeom>
                  </pic:spPr>
                </pic:pic>
              </a:graphicData>
            </a:graphic>
          </wp:inline>
        </w:drawing>
      </w:r>
    </w:p>
    <w:p>
      <w:pPr>
        <w:spacing w:after="60" w:before="120"/>
        <w:jc w:val="center"/>
      </w:pPr>
      <w:r>
        <w:drawing>
          <wp:inline distT="0" distB="0" distL="0" distR="0">
            <wp:extent cx="5905500" cy="2952750"/>
            <wp:effectExtent t="0" r="0" b="0" l="0"/>
            <wp:docPr id="1" name="karta_RD_SD.png" descr="karta_RD_SD.png" title="karta_RD_S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952750"/>
                    </a:xfrm>
                    <a:prstGeom prst="rect">
                      <a:avLst/>
                    </a:prstGeom>
                  </pic:spPr>
                </pic:pic>
              </a:graphicData>
            </a:graphic>
          </wp:inline>
        </w:drawing>
      </w:r>
    </w:p>
    <w:p>
      <w:pPr>
        <w:spacing w:after="60" w:before="120"/>
        <w:jc w:val="center"/>
      </w:pPr>
      <w:r>
        <w:drawing>
          <wp:inline distT="0" distB="0" distL="0" distR="0">
            <wp:extent cx="5905500" cy="2952750"/>
            <wp:effectExtent t="0" r="0" b="0" l="0"/>
            <wp:docPr id="1" name="karta_RD_V_diff.png" descr="karta_RD_V_diff.png" title="karta_RD_V_di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2952750"/>
                    </a:xfrm>
                    <a:prstGeom prst="rect">
                      <a:avLst/>
                    </a:prstGeom>
                  </pic:spPr>
                </pic:pic>
              </a:graphicData>
            </a:graphic>
          </wp:inline>
        </w:drawing>
      </w:r>
    </w:p>
    <w:p>
      <w:pPr>
        <w:pStyle w:val="Heading2"/>
      </w:pPr>
      <w:r>
        <w:t xml:space="preserve">4.3 Röstdelning mellan kommun- och riksdagsval</w:t>
      </w:r>
    </w:p>
    <w:p>
      <w:pPr>
        <w:spacing w:after="60" w:before="120"/>
        <w:jc w:val="center"/>
      </w:pPr>
      <w:r>
        <w:drawing>
          <wp:inline distT="0" distB="0" distL="0" distR="0">
            <wp:extent cx="5334000" cy="4667250"/>
            <wp:effectExtent t="0" r="0" b="0" l="0"/>
            <wp:docPr id="1" name="rostdelning_L.png" descr="rostdelning_L.png" title="rostdelning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667250"/>
                    </a:xfrm>
                    <a:prstGeom prst="rect">
                      <a:avLst/>
                    </a:prstGeom>
                  </pic:spPr>
                </pic:pic>
              </a:graphicData>
            </a:graphic>
          </wp:inline>
        </w:drawing>
      </w:r>
    </w:p>
    <w:p>
      <w:pPr>
        <w:spacing w:after="120" w:line="288"/>
      </w:pPr>
      <w:r>
        <w:rPr>
          <w:rFonts w:ascii="Arial" w:cs="Arial" w:eastAsia="Arial" w:hAnsi="Arial"/>
          <w:sz w:val="21"/>
          <w:szCs w:val="21"/>
        </w:rPr>
        <w:t xml:space="preserve">Liberalerna fick omkring 9 100 fler röster i kommunvalet än i riksdagsvalet. Skillnaden är störst i Norra Borstahusen (+57 procentenheter), Svaneholm (+53) och Drottningen (+45) och minst i Norrestad (+8,5). Mönstret pekar på att många väljare som i riksdagsvalet röstar på M, SD eller S lägger sin kommunröst på L.</w:t>
      </w:r>
    </w:p>
    <w:p>
      <w:pPr>
        <w:pStyle w:val="Heading1"/>
        <w:pageBreakBefore/>
      </w:pPr>
      <w:r>
        <w:t xml:space="preserve">5. Valdistrikten 2026</w:t>
      </w:r>
    </w:p>
    <w:p>
      <w:pPr>
        <w:spacing w:after="120" w:line="288"/>
      </w:pPr>
      <w:r>
        <w:rPr>
          <w:rFonts w:ascii="Arial" w:cs="Arial" w:eastAsia="Arial" w:hAnsi="Arial"/>
          <w:sz w:val="21"/>
          <w:szCs w:val="21"/>
        </w:rPr>
        <w:t xml:space="preserve">Andel av giltiga röster (%) per valdistrikt. Deltag. = valdeltagande (%). Uppsamlingsdistriktet (sena förtidsröster) ingår i totalen men redovisas inte separat.</w:t>
      </w:r>
    </w:p>
    <w:p>
      <w:pPr>
        <w:pStyle w:val="Heading2"/>
      </w:pPr>
      <w:r>
        <w:t xml:space="preserve">5.1 Kommunvalet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7"/>
        <w:gridCol w:w="900"/>
        <w:gridCol w:w="691"/>
        <w:gridCol w:w="691"/>
        <w:gridCol w:w="691"/>
        <w:gridCol w:w="691"/>
        <w:gridCol w:w="691"/>
        <w:gridCol w:w="691"/>
        <w:gridCol w:w="691"/>
        <w:gridCol w:w="691"/>
        <w:gridCol w:w="691"/>
      </w:tblGrid>
      <w:tr>
        <w:trPr>
          <w:tblHeader/>
        </w:trPr>
        <w:tc>
          <w:tcPr>
            <w:tcW w:type="dxa" w:w="1907"/>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5"/>
                <w:szCs w:val="15"/>
              </w:rPr>
              <w:t xml:space="preserve">Distrikt</w:t>
            </w:r>
          </w:p>
        </w:tc>
        <w:tc>
          <w:tcPr>
            <w:tcW w:type="dxa" w:w="9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Deltag.</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SD</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L</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V</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KD</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C</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MP</w:t>
            </w:r>
          </w:p>
        </w:tc>
        <w:tc>
          <w:tcPr>
            <w:tcW w:type="dxa" w:w="691"/>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Vi</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Albano</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66,1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Annelöv</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0,2</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Asmundtorp</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83,9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Centrum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69,0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Citadellstaden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75,7</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Dammhagen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41,1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Drottningen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57,5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Fröjdenborg</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48,8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0,0</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0,2</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Gustav Adolf</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59,7</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Helgebröten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0,2</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48,0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Härslöv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83,2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Karlslund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67,0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Larvi</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Borstahusen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92,2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73,1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Förstaden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67,1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Norrestad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60,7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11,1</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S:t Olov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76,8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Sandvången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76,4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5,7</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Svaneholm</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90,4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11,9</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5,6</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71,5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0,7</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0,0</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89,5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10,4</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14,8</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0,0</w:t>
            </w:r>
          </w:p>
        </w:tc>
      </w:tr>
      <w:tr>
        <w:tc>
          <w:tcPr>
            <w:tcW w:type="dxa" w:w="1907"/>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Västra Fäladen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42,4</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w:t>
            </w:r>
          </w:p>
        </w:tc>
        <w:tc>
          <w:tcPr>
            <w:tcW w:type="dxa" w:w="691"/>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0,4</w:t>
            </w:r>
          </w:p>
        </w:tc>
      </w:tr>
      <w:tr>
        <w:tc>
          <w:tcPr>
            <w:tcW w:type="dxa" w:w="1907"/>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Weibullsholm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13,6</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22,1</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19,2</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0,3</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c>
          <w:tcPr>
            <w:tcW w:type="dxa" w:w="691"/>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1907"/>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5"/>
                <w:szCs w:val="15"/>
              </w:rPr>
              <w:t xml:space="preserve">Landskrona totalt</w:t>
            </w:r>
          </w:p>
        </w:tc>
        <w:tc>
          <w:tcPr>
            <w:tcW w:type="dxa" w:w="90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78,0</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25,5</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14,0</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6,0</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39,9</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6,7</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1,0</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1,2</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3,7</w:t>
            </w:r>
          </w:p>
        </w:tc>
        <w:tc>
          <w:tcPr>
            <w:tcW w:type="dxa" w:w="691"/>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1,5</w:t>
            </w:r>
          </w:p>
        </w:tc>
      </w:tr>
    </w:tbl>
    <w:p>
      <w:pPr>
        <w:spacing w:after="120"/>
      </w:pPr>
    </w:p>
    <w:p>
      <w:pPr>
        <w:pStyle w:val="Heading2"/>
      </w:pPr>
      <w:r>
        <w:t xml:space="preserve">5.2 Regionvalet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900"/>
        <w:gridCol w:w="762"/>
        <w:gridCol w:w="762"/>
        <w:gridCol w:w="762"/>
        <w:gridCol w:w="762"/>
        <w:gridCol w:w="762"/>
        <w:gridCol w:w="762"/>
        <w:gridCol w:w="762"/>
        <w:gridCol w:w="762"/>
      </w:tblGrid>
      <w:tr>
        <w:trPr>
          <w:tblHeader/>
        </w:trPr>
        <w:tc>
          <w:tcPr>
            <w:tcW w:type="dxa" w:w="203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5"/>
                <w:szCs w:val="15"/>
              </w:rPr>
              <w:t xml:space="preserve">Distrikt</w:t>
            </w:r>
          </w:p>
        </w:tc>
        <w:tc>
          <w:tcPr>
            <w:tcW w:type="dxa" w:w="9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Deltag.</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SD</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L</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V</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KD</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C</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MP</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Albano</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65,2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Annelöv</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5,3</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Asmundtorp</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83,3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Centrum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68,3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Citadellstaden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Dammhagen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Drottningen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Fröjdenborg</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74,9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86,9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Gustav Adolf</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59,8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Helgebröten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77,9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Härslöv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82,3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Karlslund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66,7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Larvi</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74,5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Borstahusen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Förstaden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66,4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41,3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Norrestad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60,2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S:t Olov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76,3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4,9</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Sandvången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Svaneholm</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89,9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90,1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10,9</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Västra Fäladen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84,6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Weibullsholm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41,5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r>
      <w:tr>
        <w:tc>
          <w:tcPr>
            <w:tcW w:type="dxa" w:w="203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5"/>
                <w:szCs w:val="15"/>
              </w:rPr>
              <w:t xml:space="preserve">Landskrona totalt</w:t>
            </w:r>
          </w:p>
        </w:tc>
        <w:tc>
          <w:tcPr>
            <w:tcW w:type="dxa" w:w="90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77,5</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33,0</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18,1</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17,7</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11,1</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9,0</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4,7</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2,4</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3,3</w:t>
            </w:r>
          </w:p>
        </w:tc>
      </w:tr>
    </w:tbl>
    <w:p>
      <w:pPr>
        <w:spacing w:after="120"/>
      </w:pPr>
    </w:p>
    <w:p>
      <w:pPr>
        <w:pStyle w:val="Heading2"/>
      </w:pPr>
      <w:r>
        <w:t xml:space="preserve">5.3 Riksdagsvalet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900"/>
        <w:gridCol w:w="762"/>
        <w:gridCol w:w="762"/>
        <w:gridCol w:w="762"/>
        <w:gridCol w:w="762"/>
        <w:gridCol w:w="762"/>
        <w:gridCol w:w="762"/>
        <w:gridCol w:w="762"/>
        <w:gridCol w:w="762"/>
      </w:tblGrid>
      <w:tr>
        <w:trPr>
          <w:tblHeader/>
        </w:trPr>
        <w:tc>
          <w:tcPr>
            <w:tcW w:type="dxa" w:w="203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5"/>
                <w:szCs w:val="15"/>
              </w:rPr>
              <w:t xml:space="preserve">Distrikt</w:t>
            </w:r>
          </w:p>
        </w:tc>
        <w:tc>
          <w:tcPr>
            <w:tcW w:type="dxa" w:w="9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Deltag.</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SD</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L</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V</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KD</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C</w:t>
            </w:r>
          </w:p>
        </w:tc>
        <w:tc>
          <w:tcPr>
            <w:tcW w:type="dxa" w:w="762"/>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MP</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Albano</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69,3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Annelöv</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84,3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Asmundtorp</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86,6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Centrum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70,2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Citadellstaden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Dammhagen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65,3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Drottningen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Fröjdenborg</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5,9</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Glumslöv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86,7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11,7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Gustav Adolf</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66,5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Helgebröten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45,2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16,8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Norra</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83,8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25,4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Häljarp Södra</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87,3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24,2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Härslöv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Karlslund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71,2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Larvi</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28,7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4,2</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Borstahusen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92,7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22,9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5,9</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3,0</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Norra Förstaden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68,2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15,6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Norrestad</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62,6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46,6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29,3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S:t Olov</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78,2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20,3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14,1</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7,9</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5,8</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Sandvången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77,7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34,5</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3,8</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9,0</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0,7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Svaneholm</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27,8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18,4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5,2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6,5</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3,4</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Ven</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88,6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21,6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12,6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10,8</w:t>
            </w:r>
          </w:p>
        </w:tc>
      </w:tr>
      <w:tr>
        <w:tc>
          <w:tcPr>
            <w:tcW w:type="dxa" w:w="203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Västra Fäladen</w:t>
            </w:r>
          </w:p>
        </w:tc>
        <w:tc>
          <w:tcPr>
            <w:tcW w:type="dxa" w:w="9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85,6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40,2</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13,8</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8,4</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3,6</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1,7</w:t>
            </w:r>
          </w:p>
        </w:tc>
        <w:tc>
          <w:tcPr>
            <w:tcW w:type="dxa" w:w="762"/>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3,3</w:t>
            </w:r>
          </w:p>
        </w:tc>
      </w:tr>
      <w:tr>
        <w:tc>
          <w:tcPr>
            <w:tcW w:type="dxa" w:w="203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b w:val="false"/>
                <w:bCs w:val="false"/>
                <w:color w:val="222222"/>
                <w:sz w:val="15"/>
                <w:szCs w:val="15"/>
              </w:rPr>
              <w:t xml:space="preserve">Weibullsholm</w:t>
            </w:r>
          </w:p>
        </w:tc>
        <w:tc>
          <w:tcPr>
            <w:tcW w:type="dxa" w:w="9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61,7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19,6</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7,4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3,7</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23,1</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1,4</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1,3</w:t>
            </w:r>
          </w:p>
        </w:tc>
        <w:tc>
          <w:tcPr>
            <w:tcW w:type="dxa" w:w="762"/>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b w:val="false"/>
                <w:bCs w:val="false"/>
                <w:color w:val="222222"/>
                <w:sz w:val="15"/>
                <w:szCs w:val="15"/>
              </w:rPr>
              <w:t xml:space="preserve">4,3</w:t>
            </w:r>
          </w:p>
        </w:tc>
      </w:tr>
      <w:tr>
        <w:tc>
          <w:tcPr>
            <w:tcW w:type="dxa" w:w="203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left"/>
            </w:pPr>
            <w:r>
              <w:rPr>
                <w:rFonts w:ascii="Arial" w:cs="Arial" w:eastAsia="Arial" w:hAnsi="Arial"/>
                <w:b/>
                <w:bCs/>
                <w:color w:val="222222"/>
                <w:sz w:val="15"/>
                <w:szCs w:val="15"/>
              </w:rPr>
              <w:t xml:space="preserve">Landskrona totalt</w:t>
            </w:r>
          </w:p>
        </w:tc>
        <w:tc>
          <w:tcPr>
            <w:tcW w:type="dxa" w:w="900"/>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80,5</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30,2</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22,9</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17,1</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8,5</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8,7</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3,9</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3,9</w:t>
            </w:r>
          </w:p>
        </w:tc>
        <w:tc>
          <w:tcPr>
            <w:tcW w:type="dxa" w:w="762"/>
            <w:tcBorders>
              <w:top w:val="single" w:color="C9CED6" w:sz="4"/>
              <w:left w:val="none" w:color="FFFFFF" w:sz="0"/>
              <w:bottom w:val="single" w:color="C9CED6" w:sz="4"/>
              <w:right w:val="none" w:color="FFFFFF" w:sz="0"/>
            </w:tcBorders>
            <w:shd w:fill="E8EDF4" w:color="auto" w:val="clear"/>
            <w:tcMar>
              <w:top w:type="dxa" w:w="40"/>
              <w:left w:type="dxa" w:w="70"/>
              <w:bottom w:type="dxa" w:w="40"/>
              <w:right w:type="dxa" w:w="70"/>
            </w:tcMar>
          </w:tcPr>
          <w:p>
            <w:pPr>
              <w:jc w:val="right"/>
            </w:pPr>
            <w:r>
              <w:rPr>
                <w:rFonts w:ascii="Arial" w:cs="Arial" w:eastAsia="Arial" w:hAnsi="Arial"/>
                <w:b/>
                <w:bCs/>
                <w:color w:val="222222"/>
                <w:sz w:val="15"/>
                <w:szCs w:val="15"/>
              </w:rPr>
              <w:t xml:space="preserve">3,7</w:t>
            </w:r>
          </w:p>
        </w:tc>
      </w:tr>
    </w:tbl>
    <w:p>
      <w:pPr>
        <w:spacing w:after="120"/>
      </w:pPr>
    </w:p>
    <w:p>
      <w:pPr>
        <w:pStyle w:val="Heading1"/>
        <w:pageBreakBefore/>
      </w:pPr>
      <w:r>
        <w:t xml:space="preserve">6. Valdistrikt över tid</w:t>
      </w:r>
    </w:p>
    <w:p>
      <w:pPr>
        <w:spacing w:after="120" w:line="288"/>
      </w:pPr>
      <w:r>
        <w:rPr>
          <w:rFonts w:ascii="Arial" w:cs="Arial" w:eastAsia="Arial" w:hAnsi="Arial"/>
          <w:sz w:val="21"/>
          <w:szCs w:val="21"/>
        </w:rPr>
        <w:t xml:space="preserve">Tabellerna visar partiets andel i distrikt med samma namn 2010–2026. Distriktsgränserna ändrades 2018 (landsbygden) och 2022 (staden, där Västervång försvann och Drottningen, Norra Borstahusen och Weibullsholm tillkom), så jämför med försiktighet. Mellan 2022 och 2026 är indelningen identisk. 2006 års distrikt saknar namn i Valmyndighetens material.</w:t>
      </w:r>
    </w:p>
    <w:p>
      <w:pPr>
        <w:pStyle w:val="Heading2"/>
      </w:pPr>
      <w:r>
        <w:t xml:space="preserve">6.1 Liberalerna i kommunvalet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6"/>
                <w:szCs w:val="16"/>
              </w:rPr>
              <w:t xml:space="preserve">Distrikt (%)</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2010</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2014</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2018</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2022</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Albano</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16,1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14,4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26,9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29,2</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Annelöv</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31,4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33,3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40,3</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Asmundtorp</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31,6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37,2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36,5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40,2</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Centrum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15,1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11,4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30,7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35,3</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Citadellstaden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37,6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44,0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47,7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46,6</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Dammhagen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15,1</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Drottningen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54,6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57,5</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Fröjdenborg</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30,9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27,4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34,8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35,0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38,3</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Glumslöv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45,9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48,8</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Glumslöv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50,6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52,0</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Gustav Adolf</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16,5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20,5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25,1</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Helgebröten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31,7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24,5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34,2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35,9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38,1</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Häljarp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40,6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42,2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43,4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Häljarp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41,8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42,8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48,0</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Härslöv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38,1</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Karlslund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21,8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14,7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23,1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28,1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29,5</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Larvi</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31,5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36,4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38,0</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Norra Borstahusen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70,2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73,1</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Norra Förstaden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24,2</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Norrestad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7,1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7,0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8,8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9,9</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S:t Olov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43,6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46,0</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Sandvången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11,2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23,6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29,0</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Svaneholm</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64,1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56,3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67,5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66,5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71,5</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Ven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34,0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32,8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38,1</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Västra Fäladen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43,4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39,3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50,6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37,9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42,4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Weibullsholm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21,1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22,1</w:t>
            </w:r>
          </w:p>
        </w:tc>
      </w:tr>
    </w:tbl>
    <w:p>
      <w:pPr>
        <w:spacing w:after="120"/>
      </w:pPr>
    </w:p>
    <w:p>
      <w:pPr>
        <w:pStyle w:val="Heading2"/>
      </w:pPr>
      <w:r>
        <w:t xml:space="preserve">6.2 Socialdemokraterna i riksdagsvalet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6"/>
                <w:szCs w:val="16"/>
              </w:rPr>
              <w:t xml:space="preserve">Distrikt (%)</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2010</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2014</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2018</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2022</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Albano</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46,2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48,5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39,4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38,0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37,5</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Annelöv</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18,0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15,8</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Asmundtorp</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29,4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21,0</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Centrum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49,5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50,4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46,7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31,4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32,5</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Citadellstaden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32,1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27,9</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Dammhagen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51,8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51,0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43,4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38,9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43,5</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Drottningen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36,5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30,8</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Fröjdenborg</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36,2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39,2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30,4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32,0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29,9</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Glumslöv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21,0</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Glumslöv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23,6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19,3</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Gustav Adolf</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46,6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52,8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45,6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39,7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40,4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Helgebröten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43,9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44,1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46,3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44,2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45,2</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Häljarp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Häljarp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24,2</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Härslöv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22,9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23,8</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Karlslund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50,3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56,6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49,2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37,1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40,8</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Larvi</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38,7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42,7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32,7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31,6</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Norra Borstahusen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22,9</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Norra Förstaden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43,3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41,3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32,4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37,8</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Norrestad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63,1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59,4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61,4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42,3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46,6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S:t Olov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42,6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41,8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31,0</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Sandvången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49,6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49,1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41,2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39,5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34,8</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Svaneholm</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15,1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17,6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15,8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18,8</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Ven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15,6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15,2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20,6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Västra Fäladen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34,7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33,8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43,4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40,2</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Weibullsholm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35,9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37,1</w:t>
            </w:r>
          </w:p>
        </w:tc>
      </w:tr>
    </w:tbl>
    <w:p>
      <w:pPr>
        <w:spacing w:after="120"/>
      </w:pPr>
    </w:p>
    <w:p>
      <w:pPr>
        <w:pStyle w:val="Heading2"/>
      </w:pPr>
      <w:r>
        <w:t xml:space="preserve">6.3 Sverigedemokraterna i riksdagsvalet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1200"/>
        <w:gridCol w:w="1200"/>
        <w:gridCol w:w="1200"/>
      </w:tblGrid>
      <w:tr>
        <w:trPr>
          <w:tblHeader/>
        </w:trPr>
        <w:tc>
          <w:tcPr>
            <w:tcW w:type="dxa" w:w="30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6"/>
                <w:szCs w:val="16"/>
              </w:rPr>
              <w:t xml:space="preserve">Distrikt (%)</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2010</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2014</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2018</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2022</w:t>
            </w:r>
          </w:p>
        </w:tc>
        <w:tc>
          <w:tcPr>
            <w:tcW w:type="dxa" w:w="12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2026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Albano</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15,0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26,7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29,1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24,3</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Annelöv</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33,4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37,9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30,9</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Asmundtorp</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13,2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26,5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33,5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31,7</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Centrum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10,4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21,2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23,6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Citadellstaden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9,6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20,9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27,9</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Dammhagen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8,5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14,7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20,5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16,4</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Drottningen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21,9</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Fröjdenborg</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10,7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26,5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25,4</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Glumslöv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17,6</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Glumslöv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18,5</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Gustav Adolf</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10,9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15,9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21,3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18,3</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Helgebröten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8,6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22,4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16,8</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Häljarp Norra</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32,0</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28,2</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Häljarp Södra</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32,0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30,9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28,2</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Härslöv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9,4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29,9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35,3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Karlslund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8,8</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21,0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24,1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18,0</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Larvi</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13,5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30,1</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30,6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28,7</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Norra Borstahusen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13,7</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Norra Förstaden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8,3</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17,8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26,4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20,7</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Norrestad</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6,5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9,7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16,3</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16,4</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13,7</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S:t Olov</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9,5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17,7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22,9</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25,7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20,3</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Sandvången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13,9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32,1</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36,5</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34,5</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Svaneholm</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6,8</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14,2</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19,7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18,4</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Ven</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9,2</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17,7</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29,0</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23,9</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17,6</w:t>
            </w:r>
          </w:p>
        </w:tc>
      </w:tr>
      <w:tr>
        <w:tc>
          <w:tcPr>
            <w:tcW w:type="dxa" w:w="30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Västra Fäladen</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10,5</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18,7</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22,6</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28,4</w:t>
            </w:r>
          </w:p>
        </w:tc>
        <w:tc>
          <w:tcPr>
            <w:tcW w:type="dxa" w:w="12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23,6</w:t>
            </w:r>
          </w:p>
        </w:tc>
      </w:tr>
      <w:tr>
        <w:tc>
          <w:tcPr>
            <w:tcW w:type="dxa" w:w="30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Weibullsholm</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25,6</w:t>
            </w:r>
          </w:p>
        </w:tc>
        <w:tc>
          <w:tcPr>
            <w:tcW w:type="dxa" w:w="12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19,6</w:t>
            </w:r>
          </w:p>
        </w:tc>
      </w:tr>
    </w:tbl>
    <w:p>
      <w:pPr>
        <w:spacing w:after="120"/>
      </w:pPr>
    </w:p>
    <w:p>
      <w:pPr>
        <w:pStyle w:val="Heading1"/>
        <w:pageBreakBefore/>
      </w:pPr>
      <w:r>
        <w:t xml:space="preserve">7. Vem bor i distrikten?</w:t>
      </w:r>
    </w:p>
    <w:p>
      <w:pPr>
        <w:spacing w:after="120" w:line="288"/>
      </w:pPr>
      <w:r>
        <w:rPr>
          <w:rFonts w:ascii="Arial" w:cs="Arial" w:eastAsia="Arial" w:hAnsi="Arial"/>
          <w:sz w:val="21"/>
          <w:szCs w:val="21"/>
        </w:rPr>
        <w:t xml:space="preserve">SCB:s valanalys 2026 beskriver de röstberättigade i riksdagsvalet i varje valdistrikt. Inkomstkvintilerna avser hela Sveriges inkomstfördelning (2024 års inkomster). Sambanden gäller distrikt, inte enskilda väljare.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100"/>
        <w:gridCol w:w="1100"/>
        <w:gridCol w:w="1100"/>
        <w:gridCol w:w="1100"/>
        <w:gridCol w:w="1100"/>
        <w:gridCol w:w="1100"/>
      </w:tblGrid>
      <w:tr>
        <w:trPr>
          <w:tblHeader/>
        </w:trPr>
        <w:tc>
          <w:tcPr>
            <w:tcW w:type="dxa" w:w="24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5"/>
                <w:szCs w:val="15"/>
              </w:rPr>
              <w:t xml:space="preserve">Distrikt (%)</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Utrikes födda</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Låg ink.</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Hög ink.</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Eftergymn.</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18–29 år</w:t>
            </w:r>
          </w:p>
        </w:tc>
        <w:tc>
          <w:tcPr>
            <w:tcW w:type="dxa" w:w="11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5"/>
                <w:szCs w:val="15"/>
              </w:rPr>
              <w:t xml:space="preserve">65+ år</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Albano</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30,4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29,9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6,5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13,3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33,0</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Annelöv</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9,0</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16,3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26,9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22,3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10,8</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24,2</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Asmundtorp</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13,1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15,3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17,6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17,8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12,5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23,6</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Centrum</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26,3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27,7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9,2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15,9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18,2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28,5</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Citadellstaden</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16,5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15,0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12,0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42,2</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Dammhagen</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51,7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41,1</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5,1</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11,1</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24,2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21,6</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Drottningen</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13,5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12,4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18,1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22,3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11,0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41,1</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Fröjdenborg</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25,2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26,3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12,4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17,4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14,6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35,2</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Glumslöv Norra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10,3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16,0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35,2</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34,1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12,4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29,8</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Glumslöv Södra</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10,3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14,2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32,4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36,2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9,4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31,2</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Gustav Adolf</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44,7</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33,9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6,9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11,8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21,3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19,1</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Helgebröten</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38,5</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18,3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11,9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17,2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13,7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38,4</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Häljarp Norra</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15,6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14,0</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26,5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23,8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15,5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20,5</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Häljarp Södra</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13,0</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16,3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23,8</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21,7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13,1</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23,2</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Härslöv</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20,3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18,8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20,9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11,6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28,0</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Karlslund</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42,1</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28,9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10,4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14,5</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18,0</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24,2</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Larvi</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17,4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23,2</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11,1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14,7</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13,5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31,4</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Norra Borstahusen</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12,6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11,7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36,4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32,0</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7,9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33,8</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Norra Förstaden</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37,2</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33,9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7,3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12,7</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22,4</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25,7</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Norrestad</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56,8</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36,6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10,5</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24,0</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16,0</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S:t Olov</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18,9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19,5</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15,9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21,1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13,8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31,4</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Sandvången</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15,4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25,2</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4,9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9,3</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16,7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31,0</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Svaneholm</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5,8</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14,1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32,1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30,3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9,1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38,0</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Ven</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4,6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21,6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23,6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30,7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58,4</w:t>
            </w:r>
          </w:p>
        </w:tc>
      </w:tr>
      <w:tr>
        <w:tc>
          <w:tcPr>
            <w:tcW w:type="dxa" w:w="24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5"/>
                <w:szCs w:val="15"/>
              </w:rPr>
              <w:t xml:space="preserve">Västra Fäladen</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19,1</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18,3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9,6</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14,3</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11,9</w:t>
            </w:r>
          </w:p>
        </w:tc>
        <w:tc>
          <w:tcPr>
            <w:tcW w:type="dxa" w:w="11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5"/>
                <w:szCs w:val="15"/>
              </w:rPr>
              <w:t xml:space="preserve">46,9</w:t>
            </w:r>
          </w:p>
        </w:tc>
      </w:tr>
      <w:tr>
        <w:tc>
          <w:tcPr>
            <w:tcW w:type="dxa" w:w="24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5"/>
                <w:szCs w:val="15"/>
              </w:rPr>
              <w:t xml:space="preserve">Weibullsholm</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49,5</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33,9</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6,6</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12,4</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21,7</w:t>
            </w:r>
          </w:p>
        </w:tc>
        <w:tc>
          <w:tcPr>
            <w:tcW w:type="dxa" w:w="11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5"/>
                <w:szCs w:val="15"/>
              </w:rPr>
              <w:t xml:space="preserve">21,4</w:t>
            </w:r>
          </w:p>
        </w:tc>
      </w:tr>
    </w:tbl>
    <w:p>
      <w:pPr>
        <w:spacing w:after="120"/>
      </w:pPr>
    </w:p>
    <w:p>
      <w:pPr>
        <w:pStyle w:val="Heading2"/>
      </w:pPr>
      <w:r>
        <w:t xml:space="preserve">7.1 Samband med partival i kommunvalet</w:t>
      </w:r>
    </w:p>
    <w:p>
      <w:pPr>
        <w:spacing w:after="120" w:line="288"/>
      </w:pPr>
      <w:r>
        <w:rPr>
          <w:rFonts w:ascii="Arial" w:cs="Arial" w:eastAsia="Arial" w:hAnsi="Arial"/>
          <w:sz w:val="21"/>
          <w:szCs w:val="21"/>
        </w:rPr>
        <w:t xml:space="preserve">Korrelationskoefficienten r visar hur starkt partiets andel samvarierar med bakgrundsvariabeln över de 26 distrikten (+1 = starkt positivt, −1 = starkt negativt).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800"/>
        <w:gridCol w:w="800"/>
        <w:gridCol w:w="800"/>
        <w:gridCol w:w="800"/>
        <w:gridCol w:w="800"/>
        <w:gridCol w:w="800"/>
        <w:gridCol w:w="800"/>
        <w:gridCol w:w="800"/>
      </w:tblGrid>
      <w:tr>
        <w:trPr>
          <w:tblHeader/>
        </w:trPr>
        <w:tc>
          <w:tcPr>
            <w:tcW w:type="dxa" w:w="26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6"/>
                <w:szCs w:val="16"/>
              </w:rPr>
              <w:t xml:space="preserve">Bakgrund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S</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SD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M</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L</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V</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KD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C</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MP</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Utrikes födda</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−0,18</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−0,62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0,95</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−0,32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−0,53</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0,02</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Låg inkomst (kvintil 1)</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−0,02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−0,47</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−0,88</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0,93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−0,36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0,29</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Hög inkomst (kvintil 5)</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−0,92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−0,20</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0,66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0,24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0,59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−0,01</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Eftergymnasial ≥3 år</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−0,84</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−0,33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0,66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0,78</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0,20</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0,64</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0,13</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Ålder 18–29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0,81</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0,09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−0,57</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−0,80</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0,88</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−0,16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−0,53</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−0,11</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Ålder 65+</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−0,24</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0,16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0,45</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−0,53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−0,10</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0,30</w:t>
            </w:r>
          </w:p>
        </w:tc>
      </w:tr>
    </w:tbl>
    <w:p>
      <w:pPr>
        <w:spacing w:after="120"/>
      </w:pPr>
    </w:p>
    <w:p>
      <w:pPr>
        <w:spacing w:after="60" w:before="120"/>
        <w:jc w:val="center"/>
      </w:pPr>
      <w:r>
        <w:drawing>
          <wp:inline distT="0" distB="0" distL="0" distR="0">
            <wp:extent cx="5905500" cy="2590800"/>
            <wp:effectExtent t="0" r="0" b="0" l="0"/>
            <wp:docPr id="1" name="scb_samband.png" descr="scb_samband.png" title="scb_samb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2590800"/>
                    </a:xfrm>
                    <a:prstGeom prst="rect">
                      <a:avLst/>
                    </a:prstGeom>
                  </pic:spPr>
                </pic:pic>
              </a:graphicData>
            </a:graphic>
          </wp:inline>
        </w:drawing>
      </w:r>
    </w:p>
    <w:p>
      <w:pPr>
        <w:pStyle w:val="Heading2"/>
      </w:pPr>
      <w:r>
        <w:t xml:space="preserve">7.2 Samband med partival i riksdagsvalet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800"/>
        <w:gridCol w:w="800"/>
        <w:gridCol w:w="800"/>
        <w:gridCol w:w="800"/>
        <w:gridCol w:w="800"/>
        <w:gridCol w:w="800"/>
        <w:gridCol w:w="800"/>
        <w:gridCol w:w="800"/>
      </w:tblGrid>
      <w:tr>
        <w:trPr>
          <w:tblHeader/>
        </w:trPr>
        <w:tc>
          <w:tcPr>
            <w:tcW w:type="dxa" w:w="2626"/>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left"/>
            </w:pPr>
            <w:r>
              <w:rPr>
                <w:rFonts w:ascii="Arial" w:cs="Arial" w:eastAsia="Arial" w:hAnsi="Arial"/>
                <w:b/>
                <w:bCs/>
                <w:color w:val="FFFFFF"/>
                <w:sz w:val="16"/>
                <w:szCs w:val="16"/>
              </w:rPr>
              <w:t xml:space="preserve">Bakgrund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S</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SD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M</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L</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V</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KD</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C</w:t>
            </w:r>
          </w:p>
        </w:tc>
        <w:tc>
          <w:tcPr>
            <w:tcW w:type="dxa" w:w="800"/>
            <w:tcBorders>
              <w:top w:val="single" w:color="C9CED6" w:sz="4"/>
              <w:left w:val="none" w:color="FFFFFF" w:sz="0"/>
              <w:bottom w:val="single" w:color="C9CED6" w:sz="4"/>
              <w:right w:val="none" w:color="FFFFFF" w:sz="0"/>
            </w:tcBorders>
            <w:shd w:fill="1F3A5F" w:color="auto" w:val="clear"/>
            <w:tcMar>
              <w:top w:type="dxa" w:w="40"/>
              <w:left w:type="dxa" w:w="70"/>
              <w:bottom w:type="dxa" w:w="40"/>
              <w:right w:type="dxa" w:w="70"/>
            </w:tcMar>
          </w:tcPr>
          <w:p>
            <w:pPr>
              <w:jc w:val="right"/>
            </w:pPr>
            <w:r>
              <w:rPr>
                <w:rFonts w:ascii="Arial" w:cs="Arial" w:eastAsia="Arial" w:hAnsi="Arial"/>
                <w:b/>
                <w:bCs/>
                <w:color w:val="FFFFFF"/>
                <w:sz w:val="16"/>
                <w:szCs w:val="16"/>
              </w:rPr>
              <w:t xml:space="preserve">MP</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Utrikes födda</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−0,42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0,94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−0,72</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−0,32</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Låg inkomst (kvintil 1)</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−0,88</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−0,79</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0,93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−0,65</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−0,07</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Hög inkomst (kvintil 5)</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−0,07</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0,95</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0,88</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0,28</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Eftergymnasial ≥3 år</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−0,80</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0,90</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0,86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0,76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0,94</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0,45</w:t>
            </w:r>
          </w:p>
        </w:tc>
      </w:tr>
      <w:tr>
        <w:tc>
          <w:tcPr>
            <w:tcW w:type="dxa" w:w="2626"/>
            <w:tcBorders>
              <w:top w:val="single" w:color="C9CED6" w:sz="4"/>
              <w:left w:val="none" w:color="FFFFFF" w:sz="0"/>
              <w:bottom w:val="single" w:color="C9CED6" w:sz="4"/>
              <w:right w:val="none" w:color="FFFFFF" w:sz="0"/>
            </w:tcBorders>
            <w:tcMar>
              <w:top w:type="dxa" w:w="40"/>
              <w:left w:type="dxa" w:w="70"/>
              <w:bottom w:type="dxa" w:w="40"/>
              <w:right w:type="dxa" w:w="70"/>
            </w:tcMar>
          </w:tcPr>
          <w:p>
            <w:pPr>
              <w:jc w:val="left"/>
            </w:pPr>
            <w:r>
              <w:rPr>
                <w:rFonts w:ascii="Arial" w:cs="Arial" w:eastAsia="Arial" w:hAnsi="Arial"/>
                <w:color w:val="222222"/>
                <w:sz w:val="16"/>
                <w:szCs w:val="16"/>
              </w:rPr>
              <w:t xml:space="preserve">Ålder 18–29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0,77</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−0,14</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−0,79</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−0,85</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0,86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−0,78</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−0,76</w:t>
            </w:r>
          </w:p>
        </w:tc>
        <w:tc>
          <w:tcPr>
            <w:tcW w:type="dxa" w:w="800"/>
            <w:tcBorders>
              <w:top w:val="single" w:color="C9CED6" w:sz="4"/>
              <w:left w:val="none" w:color="FFFFFF" w:sz="0"/>
              <w:bottom w:val="single" w:color="C9CED6" w:sz="4"/>
              <w:right w:val="none" w:color="FFFFFF" w:sz="0"/>
            </w:tcBorders>
            <w:tcMar>
              <w:top w:type="dxa" w:w="40"/>
              <w:left w:type="dxa" w:w="70"/>
              <w:bottom w:type="dxa" w:w="40"/>
              <w:right w:type="dxa" w:w="70"/>
            </w:tcMar>
          </w:tcPr>
          <w:p>
            <w:pPr>
              <w:jc w:val="right"/>
            </w:pPr>
            <w:r>
              <w:rPr>
                <w:rFonts w:ascii="Arial" w:cs="Arial" w:eastAsia="Arial" w:hAnsi="Arial"/>
                <w:color w:val="222222"/>
                <w:sz w:val="16"/>
                <w:szCs w:val="16"/>
              </w:rPr>
              <w:t xml:space="preserve">−0,42</w:t>
            </w:r>
          </w:p>
        </w:tc>
      </w:tr>
      <w:tr>
        <w:tc>
          <w:tcPr>
            <w:tcW w:type="dxa" w:w="2626"/>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left"/>
            </w:pPr>
            <w:r>
              <w:rPr>
                <w:rFonts w:ascii="Arial" w:cs="Arial" w:eastAsia="Arial" w:hAnsi="Arial"/>
                <w:color w:val="222222"/>
                <w:sz w:val="16"/>
                <w:szCs w:val="16"/>
              </w:rPr>
              <w:t xml:space="preserve">Ålder 65+</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−0,06</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0,29</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0,58</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−0,52</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0,23</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0,35</w:t>
            </w:r>
          </w:p>
        </w:tc>
        <w:tc>
          <w:tcPr>
            <w:tcW w:type="dxa" w:w="800"/>
            <w:tcBorders>
              <w:top w:val="single" w:color="C9CED6" w:sz="4"/>
              <w:left w:val="none" w:color="FFFFFF" w:sz="0"/>
              <w:bottom w:val="single" w:color="C9CED6" w:sz="4"/>
              <w:right w:val="none" w:color="FFFFFF" w:sz="0"/>
            </w:tcBorders>
            <w:shd w:fill="F2F4F7" w:color="auto" w:val="clear"/>
            <w:tcMar>
              <w:top w:type="dxa" w:w="40"/>
              <w:left w:type="dxa" w:w="70"/>
              <w:bottom w:type="dxa" w:w="40"/>
              <w:right w:type="dxa" w:w="70"/>
            </w:tcMar>
          </w:tcPr>
          <w:p>
            <w:pPr>
              <w:jc w:val="right"/>
            </w:pPr>
            <w:r>
              <w:rPr>
                <w:rFonts w:ascii="Arial" w:cs="Arial" w:eastAsia="Arial" w:hAnsi="Arial"/>
                <w:color w:val="222222"/>
                <w:sz w:val="16"/>
                <w:szCs w:val="16"/>
              </w:rPr>
              <w:t xml:space="preserve">0,49</w:t>
            </w:r>
          </w:p>
        </w:tc>
      </w:tr>
    </w:tbl>
    <w:p>
      <w:pPr>
        <w:spacing w:after="120"/>
      </w:pPr>
    </w:p>
    <w:p>
      <w:pPr>
        <w:spacing w:after="120" w:line="288"/>
      </w:pPr>
      <w:r>
        <w:rPr>
          <w:rFonts w:ascii="Arial" w:cs="Arial" w:eastAsia="Arial" w:hAnsi="Arial"/>
          <w:sz w:val="21"/>
          <w:szCs w:val="21"/>
        </w:rPr>
        <w:t xml:space="preserve">V och S är starka där andelen utrikes födda och låginkomsttagare är hög, L och M där inkomst- och utbildningsnivån är hög. SD har svaga samband med alla variablerna; partiet är starkast i distrikt med låg utbildningsnivå men få utrikes födda, till exempel Sandvången, Annelöv och Asmundtorp.</w:t>
      </w:r>
    </w:p>
    <w:p>
      <w:pPr>
        <w:pStyle w:val="Heading1"/>
        <w:pageBreakBefore/>
      </w:pPr>
      <w:r>
        <w:t xml:space="preserve">8. Metod och källor</w:t>
      </w:r>
    </w:p>
    <w:p>
      <w:pPr>
        <w:pStyle w:val="ListParagraph"/>
        <w:numPr>
          <w:ilvl w:val="0"/>
          <w:numId w:val="2"/>
        </w:numPr>
        <w:spacing w:after="80" w:line="276"/>
      </w:pPr>
      <w:r>
        <w:rPr>
          <w:rFonts w:ascii="Arial" w:cs="Arial" w:eastAsia="Arial" w:hAnsi="Arial"/>
          <w:b/>
          <w:bCs/>
          <w:sz w:val="21"/>
          <w:szCs w:val="21"/>
        </w:rPr>
        <w:t xml:space="preserve">Valresultat 2026: </w:t>
      </w:r>
      <w:r>
        <w:rPr>
          <w:rFonts w:ascii="Arial" w:cs="Arial" w:eastAsia="Arial" w:hAnsi="Arial"/>
          <w:sz w:val="21"/>
          <w:szCs w:val="21"/>
        </w:rPr>
        <w:t xml:space="preserve">Valmyndighetens slutliga valresultat per valdistrikt (resultat.val.se). Distriktssummorna stämmer exakt mot kommuntotalerna. Jämförelsen med 2022 bygger på Valmyndighetens omräkning till 2026 års distrikt (identisk indelning).</w:t>
      </w:r>
    </w:p>
    <w:p>
      <w:pPr>
        <w:pStyle w:val="ListParagraph"/>
        <w:numPr>
          <w:ilvl w:val="0"/>
          <w:numId w:val="2"/>
        </w:numPr>
        <w:spacing w:after="80" w:line="276"/>
      </w:pPr>
      <w:r>
        <w:rPr>
          <w:rFonts w:ascii="Arial" w:cs="Arial" w:eastAsia="Arial" w:hAnsi="Arial"/>
          <w:b/>
          <w:bCs/>
          <w:sz w:val="21"/>
          <w:szCs w:val="21"/>
        </w:rPr>
        <w:t xml:space="preserve">Historik 2006–2022: </w:t>
      </w:r>
      <w:r>
        <w:rPr>
          <w:rFonts w:ascii="Arial" w:cs="Arial" w:eastAsia="Arial" w:hAnsi="Arial"/>
          <w:sz w:val="21"/>
          <w:szCs w:val="21"/>
        </w:rPr>
        <w:t xml:space="preserve">Valmyndighetens filer och sidor per valdistrikt (historik.val.se för 2006–2018, resultat.val.se för 2022). I riksdagsvalet 2006 redovisades SD bland övriga partier; SD:s röster har hämtats separat per distrikt. För 2006 finns en beräknad rest för röster utanför distrikten.</w:t>
      </w:r>
    </w:p>
    <w:p>
      <w:pPr>
        <w:pStyle w:val="ListParagraph"/>
        <w:numPr>
          <w:ilvl w:val="0"/>
          <w:numId w:val="2"/>
        </w:numPr>
        <w:spacing w:after="80" w:line="276"/>
      </w:pPr>
      <w:r>
        <w:rPr>
          <w:rFonts w:ascii="Arial" w:cs="Arial" w:eastAsia="Arial" w:hAnsi="Arial"/>
          <w:b/>
          <w:bCs/>
          <w:sz w:val="21"/>
          <w:szCs w:val="21"/>
        </w:rPr>
        <w:t xml:space="preserve">Mandat: </w:t>
      </w:r>
      <w:r>
        <w:rPr>
          <w:rFonts w:ascii="Arial" w:cs="Arial" w:eastAsia="Arial" w:hAnsi="Arial"/>
          <w:sz w:val="21"/>
          <w:szCs w:val="21"/>
        </w:rPr>
        <w:t xml:space="preserve">Valmyndighetens uppgifter om valda ledamöter per år.</w:t>
      </w:r>
    </w:p>
    <w:p>
      <w:pPr>
        <w:pStyle w:val="ListParagraph"/>
        <w:numPr>
          <w:ilvl w:val="0"/>
          <w:numId w:val="2"/>
        </w:numPr>
        <w:spacing w:after="80" w:line="276"/>
      </w:pPr>
      <w:r>
        <w:rPr>
          <w:rFonts w:ascii="Arial" w:cs="Arial" w:eastAsia="Arial" w:hAnsi="Arial"/>
          <w:b/>
          <w:bCs/>
          <w:sz w:val="21"/>
          <w:szCs w:val="21"/>
        </w:rPr>
        <w:t xml:space="preserve">Bakgrundsdata: </w:t>
      </w:r>
      <w:r>
        <w:rPr>
          <w:rFonts w:ascii="Arial" w:cs="Arial" w:eastAsia="Arial" w:hAnsi="Arial"/>
          <w:sz w:val="21"/>
          <w:szCs w:val="21"/>
        </w:rPr>
        <w:t xml:space="preserve">SCB:s valanalysverktyg för riksdagsvalet 2026 (kartdatatjänsten bakom SCB:s informationspanel). Andelarna avser röstberättigade i riksdagsvalet.</w:t>
      </w:r>
    </w:p>
    <w:p>
      <w:pPr>
        <w:pStyle w:val="ListParagraph"/>
        <w:numPr>
          <w:ilvl w:val="0"/>
          <w:numId w:val="2"/>
        </w:numPr>
        <w:spacing w:after="80" w:line="276"/>
      </w:pPr>
      <w:r>
        <w:rPr>
          <w:rFonts w:ascii="Arial" w:cs="Arial" w:eastAsia="Arial" w:hAnsi="Arial"/>
          <w:b/>
          <w:bCs/>
          <w:sz w:val="21"/>
          <w:szCs w:val="21"/>
        </w:rPr>
        <w:t xml:space="preserve">Kartor: </w:t>
      </w:r>
      <w:r>
        <w:rPr>
          <w:rFonts w:ascii="Arial" w:cs="Arial" w:eastAsia="Arial" w:hAnsi="Arial"/>
          <w:sz w:val="21"/>
          <w:szCs w:val="21"/>
        </w:rPr>
        <w:t xml:space="preserve">Valmyndighetens valdistriktsgränser 2026, förenklade (via det öppna projektet kisabaka/val-resultat).</w:t>
      </w:r>
    </w:p>
    <w:p>
      <w:pPr>
        <w:pStyle w:val="ListParagraph"/>
        <w:numPr>
          <w:ilvl w:val="0"/>
          <w:numId w:val="2"/>
        </w:numPr>
        <w:spacing w:after="80" w:line="276"/>
      </w:pPr>
      <w:r>
        <w:rPr>
          <w:rFonts w:ascii="Arial" w:cs="Arial" w:eastAsia="Arial" w:hAnsi="Arial"/>
          <w:b/>
          <w:bCs/>
          <w:sz w:val="21"/>
          <w:szCs w:val="21"/>
        </w:rPr>
        <w:t xml:space="preserve">Områden: </w:t>
      </w:r>
      <w:r>
        <w:rPr>
          <w:rFonts w:ascii="Arial" w:cs="Arial" w:eastAsia="Arial" w:hAnsi="Arial"/>
          <w:sz w:val="21"/>
          <w:szCs w:val="21"/>
        </w:rPr>
        <w:t xml:space="preserve">Distrikten är grupperade efter distriktskodens prefix: 01 = Landskrona stad, 02 = Ven, 03–05 = Annelöv–Häljarp–Asmundtorp, 07–08 = Glumslöv–Härslöv.</w:t>
      </w:r>
    </w:p>
    <w:p>
      <w:pPr>
        <w:spacing w:after="120" w:line="288"/>
      </w:pPr>
      <w:r>
        <w:rPr>
          <w:rFonts w:ascii="Arial" w:cs="Arial" w:eastAsia="Arial" w:hAnsi="Arial"/>
          <w:sz w:val="21"/>
          <w:szCs w:val="21"/>
        </w:rPr>
        <w:t xml:space="preserve">All rådata finns i Excelfilen Landskrona_val2026_radata.xlsx och i den interaktiva dashboarden.</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Valet 2026 i Landskrona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E4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b9a5c28212c7a015dbe0d688f292e29cf2fc33.png"/><Relationship Id="rId10" Type="http://schemas.openxmlformats.org/officeDocument/2006/relationships/image" Target="media/f0d752b7be8b08599808bd396ee932aca5c667e2.png"/><Relationship Id="rId11" Type="http://schemas.openxmlformats.org/officeDocument/2006/relationships/image" Target="media/3387a4cacc3b4dd228fbbe2824582528ba52932a.png"/><Relationship Id="rId12" Type="http://schemas.openxmlformats.org/officeDocument/2006/relationships/image" Target="media/318a17064a7319808b62a77f3705191dc9cace82.png"/><Relationship Id="rId13" Type="http://schemas.openxmlformats.org/officeDocument/2006/relationships/image" Target="media/8c10bdaa71e5660b1d62f5edcb578a8866b8eb6b.png"/><Relationship Id="rId14" Type="http://schemas.openxmlformats.org/officeDocument/2006/relationships/image" Target="media/26bba1d5d6bcf26dbb927cf9debe07d397acbb93.png"/><Relationship Id="rId15" Type="http://schemas.openxmlformats.org/officeDocument/2006/relationships/image" Target="media/fc29fea00dd259a7946ec0b690144bbfdde050fe.png"/><Relationship Id="rId16" Type="http://schemas.openxmlformats.org/officeDocument/2006/relationships/image" Target="media/ed2ba06ed6a115dc0b1d39bd3e2a730ea0eb6051.png"/><Relationship Id="rId17" Type="http://schemas.openxmlformats.org/officeDocument/2006/relationships/image" Target="media/c889a9c6401a5644c7c2b8c3e16c79a800c57d92.png"/><Relationship Id="rId18" Type="http://schemas.openxmlformats.org/officeDocument/2006/relationships/image" Target="media/489163d14b40c7f27c1bf5d85fa75d56c8cb4461.png"/><Relationship Id="rId19" Type="http://schemas.openxmlformats.org/officeDocument/2006/relationships/image" Target="media/5414ef17d86b207af2dc2465d034744bf796a71a.png"/><Relationship Id="rId20" Type="http://schemas.openxmlformats.org/officeDocument/2006/relationships/image" Target="media/313fc9a264ae315a277a7c259ecdd8eff8a7e641.png"/><Relationship Id="rId21" Type="http://schemas.openxmlformats.org/officeDocument/2006/relationships/image" Target="media/8f7bb367fcd050ff4831577fad61b4840d745e1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Valet 2026 i Landskrona</dc:title>
  <dc:creator>Claude</dc:creator>
  <cp:lastModifiedBy>Un-named</cp:lastModifiedBy>
  <cp:revision>1</cp:revision>
  <dcterms:created xsi:type="dcterms:W3CDTF">2026-10-16T14:48:36.539Z</dcterms:created>
  <dcterms:modified xsi:type="dcterms:W3CDTF">2026-10-16T14:48:36.539Z</dcterms:modified>
</cp:coreProperties>
</file>

<file path=docProps/custom.xml><?xml version="1.0" encoding="utf-8"?>
<Properties xmlns="http://schemas.openxmlformats.org/officeDocument/2006/custom-properties" xmlns:vt="http://schemas.openxmlformats.org/officeDocument/2006/docPropsVTypes"/>
</file>