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PO Update Automation — Response to Discovery Follow-Up</w:t>
      </w:r>
    </w:p>
    <w:p>
      <w:pPr>
        <w:spacing w:after="120"/>
      </w:pPr>
      <w:r>
        <w:rPr>
          <w:b w:val="false"/>
          <w:bCs w:val="false"/>
          <w:i/>
          <w:iCs/>
          <w:sz w:val="21"/>
          <w:szCs w:val="21"/>
        </w:rPr>
        <w:t xml:space="preserve">Prepared by: Kiko  |  For: Beth, Brandon  |  Date: August 7, 2026</w:t>
      </w:r>
    </w:p>
    <w:p>
      <w:pPr>
        <w:spacing w:after="120"/>
      </w:pPr>
      <w:r>
        <w:rPr>
          <w:b w:val="false"/>
          <w:bCs w:val="false"/>
          <w:i w:val="false"/>
          <w:iCs w:val="false"/>
          <w:sz w:val="21"/>
          <w:szCs w:val="21"/>
        </w:rPr>
        <w:t xml:space="preserve">Purpose: point-by-point answers to Beth's August 5 discovery follow-up, organized in the same order, for review ahead of Kiko and Brandon's build call.</w:t>
      </w:r>
    </w:p>
    <w:p>
      <w:pPr>
        <w:pStyle w:val="Heading1"/>
        <w:spacing w:after="120" w:before="320"/>
      </w:pPr>
      <w:r>
        <w:t xml:space="preserve">Already settled — no change</w:t>
      </w:r>
    </w:p>
    <w:p>
      <w:pPr>
        <w:pStyle w:val="ListParagraph"/>
        <w:numPr>
          <w:ilvl w:val="0"/>
          <w:numId w:val="2"/>
        </w:numPr>
        <w:spacing w:after="80"/>
      </w:pPr>
      <w:r>
        <w:rPr>
          <w:sz w:val="21"/>
          <w:szCs w:val="21"/>
        </w:rPr>
        <w:t xml:space="preserve">Sandbox-first build approach — production is only touched after the flow is proven end to end. Unchanged.</w:t>
      </w:r>
    </w:p>
    <w:p>
      <w:pPr>
        <w:pStyle w:val="ListParagraph"/>
        <w:numPr>
          <w:ilvl w:val="0"/>
          <w:numId w:val="2"/>
        </w:numPr>
        <w:spacing w:after="80"/>
      </w:pPr>
      <w:r>
        <w:rPr>
          <w:sz w:val="21"/>
          <w:szCs w:val="21"/>
        </w:rPr>
        <w:t xml:space="preserve">Human approval step is permanent — nothing writes to NetSuite without Paula clicking approve. Unchanged, by design, not a training-wheels step.</w:t>
      </w:r>
    </w:p>
    <w:p>
      <w:pPr>
        <w:pStyle w:val="ListParagraph"/>
        <w:numPr>
          <w:ilvl w:val="0"/>
          <w:numId w:val="2"/>
        </w:numPr>
        <w:spacing w:after="80"/>
      </w:pPr>
      <w:r>
        <w:rPr>
          <w:sz w:val="21"/>
          <w:szCs w:val="21"/>
        </w:rPr>
        <w:t xml:space="preserve">Least-privilege NetSuite service role, not an admin account — already built and live-tested against sandbox (Phase 1 complete, all four target fields write correctly under this role).</w:t>
      </w:r>
    </w:p>
    <w:p>
      <w:pPr>
        <w:pStyle w:val="ListParagraph"/>
        <w:numPr>
          <w:ilvl w:val="0"/>
          <w:numId w:val="2"/>
        </w:numPr>
        <w:spacing w:after="80"/>
      </w:pPr>
      <w:r>
        <w:rPr>
          <w:sz w:val="21"/>
          <w:szCs w:val="21"/>
        </w:rPr>
        <w:t xml:space="preserve">Cost and hosting plan — Azure Functions (serverless) + existing Microsoft 365 + small Anthropic API usage. Unchanged.</w:t>
      </w:r>
    </w:p>
    <w:p>
      <w:pPr>
        <w:pStyle w:val="Heading1"/>
        <w:spacing w:after="120" w:before="320"/>
      </w:pPr>
      <w:r>
        <w:t xml:space="preserve">1. Multi-vendor format coverage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4550"/>
        <w:gridCol w:w="5690"/>
      </w:tblGrid>
      <w:tr>
        <w:trPr>
          <w:tblHeader/>
        </w:trPr>
        <w:tc>
          <w:tcPr>
            <w:tcW w:type="dxa" w:w="560"/>
            <w:shd w:fill="1F3864" w:color="auto" w:val="clear"/>
            <w:tcMar>
              <w:top w:type="dxa" w:w="80"/>
              <w:left w:type="dxa" w:w="100"/>
              <w:bottom w:type="dxa" w:w="80"/>
              <w:right w:type="dxa" w:w="100"/>
            </w:tcMar>
          </w:tcPr>
          <w:p>
            <w:pPr>
              <w:spacing w:after="60"/>
            </w:pPr>
            <w:r>
              <w:rPr>
                <w:b/>
                <w:bCs/>
                <w:color w:val="FFFFFF"/>
                <w:sz w:val="19"/>
                <w:szCs w:val="19"/>
              </w:rPr>
              <w:t xml:space="preserve">#</w:t>
            </w:r>
          </w:p>
        </w:tc>
        <w:tc>
          <w:tcPr>
            <w:tcW w:type="dxa" w:w="4550"/>
            <w:shd w:fill="1F3864" w:color="auto" w:val="clear"/>
            <w:tcMar>
              <w:top w:type="dxa" w:w="80"/>
              <w:left w:type="dxa" w:w="100"/>
              <w:bottom w:type="dxa" w:w="80"/>
              <w:right w:type="dxa" w:w="100"/>
            </w:tcMar>
          </w:tcPr>
          <w:p>
            <w:pPr>
              <w:spacing w:after="60"/>
            </w:pPr>
            <w:r>
              <w:rPr>
                <w:b/>
                <w:bCs/>
                <w:color w:val="FFFFFF"/>
                <w:sz w:val="19"/>
                <w:szCs w:val="19"/>
              </w:rPr>
              <w:t xml:space="preserve">Question</w:t>
            </w:r>
          </w:p>
        </w:tc>
        <w:tc>
          <w:tcPr>
            <w:tcW w:type="dxa" w:w="5690"/>
            <w:shd w:fill="1F3864" w:color="auto" w:val="clear"/>
            <w:tcMar>
              <w:top w:type="dxa" w:w="80"/>
              <w:left w:type="dxa" w:w="100"/>
              <w:bottom w:type="dxa" w:w="80"/>
              <w:right w:type="dxa" w:w="100"/>
            </w:tcMar>
          </w:tcPr>
          <w:p>
            <w:pPr>
              <w:spacing w:after="60"/>
            </w:pPr>
            <w:r>
              <w:rPr>
                <w:b/>
                <w:bCs/>
                <w:color w:val="FFFFFF"/>
                <w:sz w:val="19"/>
                <w:szCs w:val="19"/>
              </w:rPr>
              <w:t xml:space="preserve">Answer / Owner / Target date</w:t>
            </w:r>
          </w:p>
        </w:tc>
      </w:tr>
      <w:tr>
        <w:tc>
          <w:tcPr>
            <w:tcW w:type="dxa" w:w="560"/>
            <w:tcMar>
              <w:top w:type="dxa" w:w="100"/>
              <w:left w:type="dxa" w:w="100"/>
              <w:bottom w:type="dxa" w:w="100"/>
              <w:right w:type="dxa" w:w="100"/>
            </w:tcMar>
          </w:tcPr>
          <w:p>
            <w:pPr>
              <w:spacing w:after="60"/>
            </w:pPr>
            <w:r>
              <w:rPr>
                <w:sz w:val="19"/>
                <w:szCs w:val="19"/>
              </w:rPr>
              <w:t xml:space="preserve">1a</w:t>
            </w:r>
          </w:p>
        </w:tc>
        <w:tc>
          <w:tcPr>
            <w:tcW w:type="dxa" w:w="4550"/>
            <w:tcMar>
              <w:top w:type="dxa" w:w="100"/>
              <w:left w:type="dxa" w:w="100"/>
              <w:bottom w:type="dxa" w:w="100"/>
              <w:right w:type="dxa" w:w="100"/>
            </w:tcMar>
          </w:tcPr>
          <w:p>
            <w:pPr>
              <w:spacing w:after="60"/>
            </w:pPr>
            <w:r>
              <w:rPr>
                <w:sz w:val="19"/>
                <w:szCs w:val="19"/>
              </w:rPr>
              <w:t xml:space="preserve">How many distinct vendors and file formats does this need to cover in the first release?</w:t>
            </w:r>
          </w:p>
        </w:tc>
        <w:tc>
          <w:tcPr>
            <w:tcW w:type="dxa" w:w="5690"/>
            <w:tcMar>
              <w:top w:type="dxa" w:w="100"/>
              <w:left w:type="dxa" w:w="100"/>
              <w:bottom w:type="dxa" w:w="100"/>
              <w:right w:type="dxa" w:w="100"/>
            </w:tcMar>
          </w:tcPr>
          <w:p>
            <w:pPr>
              <w:spacing w:after="60"/>
            </w:pPr>
            <w:r>
              <w:rPr>
                <w:sz w:val="19"/>
                <w:szCs w:val="19"/>
              </w:rPr>
              <w:t xml:space="preserve">Not yet formally scoped by vendor count — this is a real gap, not an oversight.</w:t>
            </w:r>
          </w:p>
          <w:p>
            <w:pPr>
              <w:spacing w:after="60"/>
            </w:pPr>
            <w:r>
              <w:rPr>
                <w:b/>
                <w:bCs/>
                <w:sz w:val="19"/>
                <w:szCs w:val="19"/>
              </w:rPr>
              <w:t xml:space="preserve">Plan: </w:t>
            </w:r>
            <w:r>
              <w:rPr>
                <w:sz w:val="19"/>
                <w:szCs w:val="19"/>
              </w:rPr>
              <w:t xml:space="preserve">pull the list of vendors who sent shipping-update emails over the last two quarters (from Paula or NetSuite vendor history), and define v1 coverage as the vendors covering the bulk of the 10–20/week volume, expanding from there.</w:t>
            </w:r>
          </w:p>
          <w:p>
            <w:pPr>
              <w:spacing w:after="60"/>
            </w:pPr>
            <w:r>
              <w:rPr>
                <w:b/>
                <w:bCs/>
                <w:sz w:val="19"/>
                <w:szCs w:val="19"/>
              </w:rPr>
              <w:t xml:space="preserve">Owner: </w:t>
            </w:r>
            <w:r>
              <w:rPr>
                <w:sz w:val="19"/>
                <w:szCs w:val="19"/>
              </w:rPr>
              <w:t xml:space="preserve">Kiko, with Paula</w:t>
            </w:r>
          </w:p>
          <w:p>
            <w:pPr>
              <w:spacing w:after="60"/>
            </w:pPr>
            <w:r>
              <w:rPr>
                <w:b/>
                <w:bCs/>
                <w:sz w:val="19"/>
                <w:szCs w:val="19"/>
              </w:rPr>
              <w:t xml:space="preserve">Target: </w:t>
            </w:r>
            <w:r>
              <w:rPr>
                <w:sz w:val="19"/>
                <w:szCs w:val="19"/>
              </w:rPr>
              <w:t xml:space="preserve">vendor list and v1 scope defined by Aug 14, 2026</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1b</w:t>
            </w:r>
          </w:p>
        </w:tc>
        <w:tc>
          <w:tcPr>
            <w:tcW w:type="dxa" w:w="4550"/>
            <w:shd w:fill="EAF1FB" w:color="auto" w:val="clear"/>
            <w:tcMar>
              <w:top w:type="dxa" w:w="100"/>
              <w:left w:type="dxa" w:w="100"/>
              <w:bottom w:type="dxa" w:w="100"/>
              <w:right w:type="dxa" w:w="100"/>
            </w:tcMar>
          </w:tcPr>
          <w:p>
            <w:pPr>
              <w:spacing w:after="60"/>
            </w:pPr>
            <w:r>
              <w:rPr>
                <w:sz w:val="19"/>
                <w:szCs w:val="19"/>
              </w:rPr>
              <w:t xml:space="preserve">Has parsing been tested against more than one vendor's format yet? If not, which vendor is next?</w:t>
            </w:r>
          </w:p>
        </w:tc>
        <w:tc>
          <w:tcPr>
            <w:tcW w:type="dxa" w:w="5690"/>
            <w:shd w:fill="EAF1FB" w:color="auto" w:val="clear"/>
            <w:tcMar>
              <w:top w:type="dxa" w:w="100"/>
              <w:left w:type="dxa" w:w="100"/>
              <w:bottom w:type="dxa" w:w="100"/>
              <w:right w:type="dxa" w:w="100"/>
            </w:tcMar>
          </w:tcPr>
          <w:p>
            <w:pPr>
              <w:spacing w:after="60"/>
            </w:pPr>
            <w:r>
              <w:rPr>
                <w:sz w:val="19"/>
                <w:szCs w:val="19"/>
              </w:rPr>
              <w:t xml:space="preserve">Tested and hand-verified against one vendor so far (Inprotex) — 100% match against the vendor's own summary email across 77 line items.</w:t>
            </w:r>
          </w:p>
          <w:p>
            <w:pPr>
              <w:spacing w:after="60"/>
            </w:pPr>
            <w:r>
              <w:rPr>
                <w:sz w:val="19"/>
                <w:szCs w:val="19"/>
              </w:rPr>
              <w:t xml:space="preserve">Two additional real samples, from two different vendors with different layouts, are in hand as of this week. Testing against both starts now.</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results from both by Aug 14, 2026</w:t>
            </w:r>
          </w:p>
        </w:tc>
      </w:tr>
      <w:tr>
        <w:tc>
          <w:tcPr>
            <w:tcW w:type="dxa" w:w="560"/>
            <w:tcMar>
              <w:top w:type="dxa" w:w="100"/>
              <w:left w:type="dxa" w:w="100"/>
              <w:bottom w:type="dxa" w:w="100"/>
              <w:right w:type="dxa" w:w="100"/>
            </w:tcMar>
          </w:tcPr>
          <w:p>
            <w:pPr>
              <w:spacing w:after="60"/>
            </w:pPr>
            <w:r>
              <w:rPr>
                <w:sz w:val="19"/>
                <w:szCs w:val="19"/>
              </w:rPr>
              <w:t xml:space="preserve">1c</w:t>
            </w:r>
          </w:p>
        </w:tc>
        <w:tc>
          <w:tcPr>
            <w:tcW w:type="dxa" w:w="4550"/>
            <w:tcMar>
              <w:top w:type="dxa" w:w="100"/>
              <w:left w:type="dxa" w:w="100"/>
              <w:bottom w:type="dxa" w:w="100"/>
              <w:right w:type="dxa" w:w="100"/>
            </w:tcMar>
          </w:tcPr>
          <w:p>
            <w:pPr>
              <w:spacing w:after="60"/>
            </w:pPr>
            <w:r>
              <w:rPr>
                <w:sz w:val="19"/>
                <w:szCs w:val="19"/>
              </w:rPr>
              <w:t xml:space="preserve">What happens when the tool encounters a vendor or format it has never seen? Does it flag for manual handling or silently fail?</w:t>
            </w:r>
          </w:p>
        </w:tc>
        <w:tc>
          <w:tcPr>
            <w:tcW w:type="dxa" w:w="5690"/>
            <w:tcMar>
              <w:top w:type="dxa" w:w="100"/>
              <w:left w:type="dxa" w:w="100"/>
              <w:bottom w:type="dxa" w:w="100"/>
              <w:right w:type="dxa" w:w="100"/>
            </w:tcMar>
          </w:tcPr>
          <w:p>
            <w:pPr>
              <w:spacing w:after="60"/>
            </w:pPr>
            <w:r>
              <w:rPr>
                <w:sz w:val="19"/>
                <w:szCs w:val="19"/>
              </w:rPr>
              <w:t xml:space="preserve">By design: flags for manual handling, never silently fails or guesses. Every extracted field carries a confidence signal; anything below threshold routes to Paula's review queue clearly marked as needing attention, not presented as a routine change.</w:t>
            </w:r>
          </w:p>
          <w:p>
            <w:pPr>
              <w:spacing w:after="60"/>
            </w:pPr>
            <w:r>
              <w:rPr>
                <w:sz w:val="19"/>
                <w:szCs w:val="19"/>
              </w:rPr>
              <w:t xml:space="preserve">Not yet verified in practice — we haven't run a deliberately unfamiliar or garbled file through this path to confirm it fails safe rather than just being designed to.</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add this as an explicit test case before Phase 2 begins</w:t>
            </w:r>
          </w:p>
        </w:tc>
      </w:tr>
    </w:tbl>
    <w:p>
      <w:pPr>
        <w:pStyle w:val="Heading1"/>
        <w:spacing w:after="120" w:before="320"/>
      </w:pPr>
      <w:r>
        <w:t xml:space="preserve">2. Edge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4550"/>
        <w:gridCol w:w="5690"/>
      </w:tblGrid>
      <w:tr>
        <w:trPr>
          <w:tblHeader/>
        </w:trPr>
        <w:tc>
          <w:tcPr>
            <w:tcW w:type="dxa" w:w="560"/>
            <w:shd w:fill="1F3864" w:color="auto" w:val="clear"/>
            <w:tcMar>
              <w:top w:type="dxa" w:w="80"/>
              <w:left w:type="dxa" w:w="100"/>
              <w:bottom w:type="dxa" w:w="80"/>
              <w:right w:type="dxa" w:w="100"/>
            </w:tcMar>
          </w:tcPr>
          <w:p>
            <w:pPr>
              <w:spacing w:after="60"/>
            </w:pPr>
            <w:r>
              <w:rPr>
                <w:b/>
                <w:bCs/>
                <w:color w:val="FFFFFF"/>
                <w:sz w:val="19"/>
                <w:szCs w:val="19"/>
              </w:rPr>
              <w:t xml:space="preserve">#</w:t>
            </w:r>
          </w:p>
        </w:tc>
        <w:tc>
          <w:tcPr>
            <w:tcW w:type="dxa" w:w="4550"/>
            <w:shd w:fill="1F3864" w:color="auto" w:val="clear"/>
            <w:tcMar>
              <w:top w:type="dxa" w:w="80"/>
              <w:left w:type="dxa" w:w="100"/>
              <w:bottom w:type="dxa" w:w="80"/>
              <w:right w:type="dxa" w:w="100"/>
            </w:tcMar>
          </w:tcPr>
          <w:p>
            <w:pPr>
              <w:spacing w:after="60"/>
            </w:pPr>
            <w:r>
              <w:rPr>
                <w:b/>
                <w:bCs/>
                <w:color w:val="FFFFFF"/>
                <w:sz w:val="19"/>
                <w:szCs w:val="19"/>
              </w:rPr>
              <w:t xml:space="preserve">Question</w:t>
            </w:r>
          </w:p>
        </w:tc>
        <w:tc>
          <w:tcPr>
            <w:tcW w:type="dxa" w:w="5690"/>
            <w:shd w:fill="1F3864" w:color="auto" w:val="clear"/>
            <w:tcMar>
              <w:top w:type="dxa" w:w="80"/>
              <w:left w:type="dxa" w:w="100"/>
              <w:bottom w:type="dxa" w:w="80"/>
              <w:right w:type="dxa" w:w="100"/>
            </w:tcMar>
          </w:tcPr>
          <w:p>
            <w:pPr>
              <w:spacing w:after="60"/>
            </w:pPr>
            <w:r>
              <w:rPr>
                <w:b/>
                <w:bCs/>
                <w:color w:val="FFFFFF"/>
                <w:sz w:val="19"/>
                <w:szCs w:val="19"/>
              </w:rPr>
              <w:t xml:space="preserve">Answer / Owner / Target date</w:t>
            </w:r>
          </w:p>
        </w:tc>
      </w:tr>
      <w:tr>
        <w:tc>
          <w:tcPr>
            <w:tcW w:type="dxa" w:w="560"/>
            <w:tcMar>
              <w:top w:type="dxa" w:w="100"/>
              <w:left w:type="dxa" w:w="100"/>
              <w:bottom w:type="dxa" w:w="100"/>
              <w:right w:type="dxa" w:w="100"/>
            </w:tcMar>
          </w:tcPr>
          <w:p>
            <w:pPr>
              <w:spacing w:after="60"/>
            </w:pPr>
            <w:r>
              <w:rPr>
                <w:sz w:val="19"/>
                <w:szCs w:val="19"/>
              </w:rPr>
              <w:t xml:space="preserve">2a</w:t>
            </w:r>
          </w:p>
        </w:tc>
        <w:tc>
          <w:tcPr>
            <w:tcW w:type="dxa" w:w="4550"/>
            <w:tcMar>
              <w:top w:type="dxa" w:w="100"/>
              <w:left w:type="dxa" w:w="100"/>
              <w:bottom w:type="dxa" w:w="100"/>
              <w:right w:type="dxa" w:w="100"/>
            </w:tcMar>
          </w:tcPr>
          <w:p>
            <w:pPr>
              <w:spacing w:after="60"/>
            </w:pPr>
            <w:r>
              <w:rPr>
                <w:sz w:val="19"/>
                <w:szCs w:val="19"/>
              </w:rPr>
              <w:t xml:space="preserve">Partial or split shipments: how does the tool handle a shipment that only covers some lines on a PO?</w:t>
            </w:r>
          </w:p>
        </w:tc>
        <w:tc>
          <w:tcPr>
            <w:tcW w:type="dxa" w:w="5690"/>
            <w:tcMar>
              <w:top w:type="dxa" w:w="100"/>
              <w:left w:type="dxa" w:w="100"/>
              <w:bottom w:type="dxa" w:w="100"/>
              <w:right w:type="dxa" w:w="100"/>
            </w:tcMar>
          </w:tcPr>
          <w:p>
            <w:pPr>
              <w:spacing w:after="60"/>
            </w:pPr>
            <w:r>
              <w:rPr>
                <w:sz w:val="19"/>
                <w:szCs w:val="19"/>
              </w:rPr>
              <w:t xml:space="preserve">Current default: a PO line not present in a given shipment is left untouched and flagged for review — never assumed shipped, never auto-zeroed.</w:t>
            </w:r>
          </w:p>
          <w:p>
            <w:pPr>
              <w:spacing w:after="60"/>
            </w:pPr>
            <w:r>
              <w:rPr>
                <w:sz w:val="19"/>
                <w:szCs w:val="19"/>
              </w:rPr>
              <w:t xml:space="preserve">This is our conservative default, not yet formally confirmed with Paula.</w:t>
            </w:r>
          </w:p>
          <w:p>
            <w:pPr>
              <w:spacing w:after="60"/>
            </w:pPr>
            <w:r>
              <w:rPr>
                <w:b/>
                <w:bCs/>
                <w:sz w:val="19"/>
                <w:szCs w:val="19"/>
              </w:rPr>
              <w:t xml:space="preserve">Owner: </w:t>
            </w:r>
            <w:r>
              <w:rPr>
                <w:sz w:val="19"/>
                <w:szCs w:val="19"/>
              </w:rPr>
              <w:t xml:space="preserve">Kiko, pending Paula</w:t>
            </w:r>
          </w:p>
          <w:p>
            <w:pPr>
              <w:spacing w:after="60"/>
            </w:pPr>
            <w:r>
              <w:rPr>
                <w:b/>
                <w:bCs/>
                <w:sz w:val="19"/>
                <w:szCs w:val="19"/>
              </w:rPr>
              <w:t xml:space="preserve">Target: </w:t>
            </w:r>
            <w:r>
              <w:rPr>
                <w:sz w:val="19"/>
                <w:szCs w:val="19"/>
              </w:rPr>
              <w:t xml:space="preserve">confirm with Paula by Aug 14, 2026</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2b</w:t>
            </w:r>
          </w:p>
        </w:tc>
        <w:tc>
          <w:tcPr>
            <w:tcW w:type="dxa" w:w="4550"/>
            <w:shd w:fill="EAF1FB" w:color="auto" w:val="clear"/>
            <w:tcMar>
              <w:top w:type="dxa" w:w="100"/>
              <w:left w:type="dxa" w:w="100"/>
              <w:bottom w:type="dxa" w:w="100"/>
              <w:right w:type="dxa" w:w="100"/>
            </w:tcMar>
          </w:tcPr>
          <w:p>
            <w:pPr>
              <w:spacing w:after="60"/>
            </w:pPr>
            <w:r>
              <w:rPr>
                <w:sz w:val="19"/>
                <w:szCs w:val="19"/>
              </w:rPr>
              <w:t xml:space="preserve">PO already partially received in NetSuite: does the tool correctly diff against current state, not original state?</w:t>
            </w:r>
          </w:p>
        </w:tc>
        <w:tc>
          <w:tcPr>
            <w:tcW w:type="dxa" w:w="5690"/>
            <w:shd w:fill="EAF1FB" w:color="auto" w:val="clear"/>
            <w:tcMar>
              <w:top w:type="dxa" w:w="100"/>
              <w:left w:type="dxa" w:w="100"/>
              <w:bottom w:type="dxa" w:w="100"/>
              <w:right w:type="dxa" w:w="100"/>
            </w:tcMar>
          </w:tcPr>
          <w:p>
            <w:pPr>
              <w:spacing w:after="60"/>
            </w:pPr>
            <w:r>
              <w:rPr>
                <w:sz w:val="19"/>
                <w:szCs w:val="19"/>
              </w:rPr>
              <w:t xml:space="preserve">Yes, by design — the tool reads the PO's live current state from NetSuite at the moment it computes the diff, not a cached original.</w:t>
            </w:r>
          </w:p>
          <w:p>
            <w:pPr>
              <w:spacing w:after="60"/>
            </w:pPr>
            <w:r>
              <w:rPr>
                <w:sz w:val="19"/>
                <w:szCs w:val="19"/>
              </w:rPr>
              <w:t xml:space="preserve">Still open: whether a second/repeat shipment's quantity should replace or add to the line's quantity field. NetSuite tracks actual receiving in a separate field from the ordered quantity we write, so our working assumption is 'replace,' but this needs Paula's confirmation, same as 2a.</w:t>
            </w:r>
          </w:p>
          <w:p>
            <w:pPr>
              <w:spacing w:after="60"/>
            </w:pPr>
            <w:r>
              <w:rPr>
                <w:b/>
                <w:bCs/>
                <w:sz w:val="19"/>
                <w:szCs w:val="19"/>
              </w:rPr>
              <w:t xml:space="preserve">Owner: </w:t>
            </w:r>
            <w:r>
              <w:rPr>
                <w:sz w:val="19"/>
                <w:szCs w:val="19"/>
              </w:rPr>
              <w:t xml:space="preserve">Kiko, pending Paula</w:t>
            </w:r>
          </w:p>
          <w:p>
            <w:pPr>
              <w:spacing w:after="60"/>
            </w:pPr>
            <w:r>
              <w:rPr>
                <w:b/>
                <w:bCs/>
                <w:sz w:val="19"/>
                <w:szCs w:val="19"/>
              </w:rPr>
              <w:t xml:space="preserve">Target: </w:t>
            </w:r>
            <w:r>
              <w:rPr>
                <w:sz w:val="19"/>
                <w:szCs w:val="19"/>
              </w:rPr>
              <w:t xml:space="preserve">Aug 14, 2026</w:t>
            </w:r>
          </w:p>
        </w:tc>
      </w:tr>
      <w:tr>
        <w:tc>
          <w:tcPr>
            <w:tcW w:type="dxa" w:w="560"/>
            <w:tcMar>
              <w:top w:type="dxa" w:w="100"/>
              <w:left w:type="dxa" w:w="100"/>
              <w:bottom w:type="dxa" w:w="100"/>
              <w:right w:type="dxa" w:w="100"/>
            </w:tcMar>
          </w:tcPr>
          <w:p>
            <w:pPr>
              <w:spacing w:after="60"/>
            </w:pPr>
            <w:r>
              <w:rPr>
                <w:sz w:val="19"/>
                <w:szCs w:val="19"/>
              </w:rPr>
              <w:t xml:space="preserve">2c</w:t>
            </w:r>
          </w:p>
        </w:tc>
        <w:tc>
          <w:tcPr>
            <w:tcW w:type="dxa" w:w="4550"/>
            <w:tcMar>
              <w:top w:type="dxa" w:w="100"/>
              <w:left w:type="dxa" w:w="100"/>
              <w:bottom w:type="dxa" w:w="100"/>
              <w:right w:type="dxa" w:w="100"/>
            </w:tcMar>
          </w:tcPr>
          <w:p>
            <w:pPr>
              <w:spacing w:after="60"/>
            </w:pPr>
            <w:r>
              <w:rPr>
                <w:sz w:val="19"/>
                <w:szCs w:val="19"/>
              </w:rPr>
              <w:t xml:space="preserve">Vendor resends a corrected email for the same shipment: does the tool reprocess and risk double-counting, or detect the duplicate?</w:t>
            </w:r>
          </w:p>
        </w:tc>
        <w:tc>
          <w:tcPr>
            <w:tcW w:type="dxa" w:w="5690"/>
            <w:tcMar>
              <w:top w:type="dxa" w:w="100"/>
              <w:left w:type="dxa" w:w="100"/>
              <w:bottom w:type="dxa" w:w="100"/>
              <w:right w:type="dxa" w:w="100"/>
            </w:tcMar>
          </w:tcPr>
          <w:p>
            <w:pPr>
              <w:spacing w:after="60"/>
            </w:pPr>
            <w:r>
              <w:rPr>
                <w:sz w:val="19"/>
                <w:szCs w:val="19"/>
              </w:rPr>
              <w:t xml:space="preserve">Not yet handled — this is a real gap, not a decision we've made.</w:t>
            </w:r>
          </w:p>
          <w:p>
            <w:pPr>
              <w:spacing w:after="60"/>
            </w:pPr>
            <w:r>
              <w:rPr>
                <w:b/>
                <w:bCs/>
                <w:sz w:val="19"/>
                <w:szCs w:val="19"/>
              </w:rPr>
              <w:t xml:space="preserve">Plan: </w:t>
            </w:r>
            <w:r>
              <w:rPr>
                <w:sz w:val="19"/>
                <w:szCs w:val="19"/>
              </w:rPr>
              <w:t xml:space="preserve">give every shipment an idempotency key (vendor + invoice number + HAWB/MAWB). A resend updates the existing pending record instead of creating a duplicate; if the original was already approved and applied, a resend re-diffs against the now-current NetSuite state and proposes only the incremental difference — still through review, never auto-applied.</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built into the Phase 2 data model before intake development starts</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2d</w:t>
            </w:r>
          </w:p>
        </w:tc>
        <w:tc>
          <w:tcPr>
            <w:tcW w:type="dxa" w:w="4550"/>
            <w:shd w:fill="EAF1FB" w:color="auto" w:val="clear"/>
            <w:tcMar>
              <w:top w:type="dxa" w:w="100"/>
              <w:left w:type="dxa" w:w="100"/>
              <w:bottom w:type="dxa" w:w="100"/>
              <w:right w:type="dxa" w:w="100"/>
            </w:tcMar>
          </w:tcPr>
          <w:p>
            <w:pPr>
              <w:spacing w:after="60"/>
            </w:pPr>
            <w:r>
              <w:rPr>
                <w:sz w:val="19"/>
                <w:szCs w:val="19"/>
              </w:rPr>
              <w:t xml:space="preserve">PO number missing, misspelled, or unmatched in the vendor email: what does Paula see, and does anything fall back to the manual process?</w:t>
            </w:r>
          </w:p>
        </w:tc>
        <w:tc>
          <w:tcPr>
            <w:tcW w:type="dxa" w:w="5690"/>
            <w:shd w:fill="EAF1FB" w:color="auto" w:val="clear"/>
            <w:tcMar>
              <w:top w:type="dxa" w:w="100"/>
              <w:left w:type="dxa" w:w="100"/>
              <w:bottom w:type="dxa" w:w="100"/>
              <w:right w:type="dxa" w:w="100"/>
            </w:tcMar>
          </w:tcPr>
          <w:p>
            <w:pPr>
              <w:spacing w:after="60"/>
            </w:pPr>
            <w:r>
              <w:rPr>
                <w:sz w:val="19"/>
                <w:szCs w:val="19"/>
              </w:rPr>
              <w:t xml:space="preserve">Falls back to manual — an unresolved PO number is flagged as needing attention, never silently dropped. This is already how the matcher behaves in prototype testing.</w:t>
            </w:r>
          </w:p>
          <w:p>
            <w:pPr>
              <w:spacing w:after="60"/>
            </w:pPr>
            <w:r>
              <w:rPr>
                <w:sz w:val="19"/>
                <w:szCs w:val="19"/>
              </w:rPr>
              <w:t xml:space="preserve">Caveat: the NetSuite least-privilege role currently can't perform PO-number search/lookup at all, only direct reads by internal ID — a known permission gap that needs a NetSuite admin conversation before any automatic PO-number resolution (even fuzzy matching) can work.</w:t>
            </w:r>
          </w:p>
          <w:p>
            <w:pPr>
              <w:spacing w:after="60"/>
            </w:pPr>
            <w:r>
              <w:rPr>
                <w:b/>
                <w:bCs/>
                <w:sz w:val="19"/>
                <w:szCs w:val="19"/>
              </w:rPr>
              <w:t xml:space="preserve">Owner: </w:t>
            </w:r>
            <w:r>
              <w:rPr>
                <w:sz w:val="19"/>
                <w:szCs w:val="19"/>
              </w:rPr>
              <w:t xml:space="preserve">Kiko + Brandon (NetSuite admin permission)</w:t>
            </w:r>
          </w:p>
          <w:p>
            <w:pPr>
              <w:spacing w:after="60"/>
            </w:pPr>
            <w:r>
              <w:rPr>
                <w:b/>
                <w:bCs/>
                <w:sz w:val="19"/>
                <w:szCs w:val="19"/>
              </w:rPr>
              <w:t xml:space="preserve">Target: </w:t>
            </w:r>
            <w:r>
              <w:rPr>
                <w:sz w:val="19"/>
                <w:szCs w:val="19"/>
              </w:rPr>
              <w:t xml:space="preserve">raise with the NetSuite admin this week</w:t>
            </w:r>
          </w:p>
        </w:tc>
      </w:tr>
      <w:tr>
        <w:tc>
          <w:tcPr>
            <w:tcW w:type="dxa" w:w="560"/>
            <w:tcMar>
              <w:top w:type="dxa" w:w="100"/>
              <w:left w:type="dxa" w:w="100"/>
              <w:bottom w:type="dxa" w:w="100"/>
              <w:right w:type="dxa" w:w="100"/>
            </w:tcMar>
          </w:tcPr>
          <w:p>
            <w:pPr>
              <w:spacing w:after="60"/>
            </w:pPr>
            <w:r>
              <w:rPr>
                <w:sz w:val="19"/>
                <w:szCs w:val="19"/>
              </w:rPr>
              <w:t xml:space="preserve">2e</w:t>
            </w:r>
          </w:p>
        </w:tc>
        <w:tc>
          <w:tcPr>
            <w:tcW w:type="dxa" w:w="4550"/>
            <w:tcMar>
              <w:top w:type="dxa" w:w="100"/>
              <w:left w:type="dxa" w:w="100"/>
              <w:bottom w:type="dxa" w:w="100"/>
              <w:right w:type="dxa" w:w="100"/>
            </w:tcMar>
          </w:tcPr>
          <w:p>
            <w:pPr>
              <w:spacing w:after="60"/>
            </w:pPr>
            <w:r>
              <w:rPr>
                <w:sz w:val="19"/>
                <w:szCs w:val="19"/>
              </w:rPr>
              <w:t xml:space="preserve">New item lines in the vendor email that were not on the original PO: flagged, rejected, or added automatically?</w:t>
            </w:r>
          </w:p>
        </w:tc>
        <w:tc>
          <w:tcPr>
            <w:tcW w:type="dxa" w:w="5690"/>
            <w:tcMar>
              <w:top w:type="dxa" w:w="100"/>
              <w:left w:type="dxa" w:w="100"/>
              <w:bottom w:type="dxa" w:w="100"/>
              <w:right w:type="dxa" w:w="100"/>
            </w:tcMar>
          </w:tcPr>
          <w:p>
            <w:pPr>
              <w:spacing w:after="60"/>
            </w:pPr>
            <w:r>
              <w:rPr>
                <w:sz w:val="19"/>
                <w:szCs w:val="19"/>
              </w:rPr>
              <w:t xml:space="preserve">Flagged. By design, the tool never creates new PO lines — it only proposes updates to existing lines it can match with confidence. An unmatched vendor line surfaces to Paula rather than being auto-added or silently dropped.</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Status: </w:t>
            </w:r>
            <w:r>
              <w:rPr>
                <w:sz w:val="19"/>
                <w:szCs w:val="19"/>
              </w:rPr>
              <w:t xml:space="preserve">confirmed design decision, no open date</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2f</w:t>
            </w:r>
          </w:p>
        </w:tc>
        <w:tc>
          <w:tcPr>
            <w:tcW w:type="dxa" w:w="4550"/>
            <w:shd w:fill="EAF1FB" w:color="auto" w:val="clear"/>
            <w:tcMar>
              <w:top w:type="dxa" w:w="100"/>
              <w:left w:type="dxa" w:w="100"/>
              <w:bottom w:type="dxa" w:w="100"/>
              <w:right w:type="dxa" w:w="100"/>
            </w:tcMar>
          </w:tcPr>
          <w:p>
            <w:pPr>
              <w:spacing w:after="60"/>
            </w:pPr>
            <w:r>
              <w:rPr>
                <w:sz w:val="19"/>
                <w:szCs w:val="19"/>
              </w:rPr>
              <w:t xml:space="preserve">Race condition: someone edits the PO in NetSuite between when the tool reads it and when Paula approves the change. How is that caught?</w:t>
            </w:r>
          </w:p>
        </w:tc>
        <w:tc>
          <w:tcPr>
            <w:tcW w:type="dxa" w:w="5690"/>
            <w:shd w:fill="EAF1FB" w:color="auto" w:val="clear"/>
            <w:tcMar>
              <w:top w:type="dxa" w:w="100"/>
              <w:left w:type="dxa" w:w="100"/>
              <w:bottom w:type="dxa" w:w="100"/>
              <w:right w:type="dxa" w:w="100"/>
            </w:tcMar>
          </w:tcPr>
          <w:p>
            <w:pPr>
              <w:spacing w:after="60"/>
            </w:pPr>
            <w:r>
              <w:rPr>
                <w:sz w:val="19"/>
                <w:szCs w:val="19"/>
              </w:rPr>
              <w:t xml:space="preserve">Not yet handled — a real gap worth building in deliberately.</w:t>
            </w:r>
          </w:p>
          <w:p>
            <w:pPr>
              <w:spacing w:after="60"/>
            </w:pPr>
            <w:r>
              <w:rPr>
                <w:b/>
                <w:bCs/>
                <w:sz w:val="19"/>
                <w:szCs w:val="19"/>
              </w:rPr>
              <w:t xml:space="preserve">Plan: </w:t>
            </w:r>
            <w:r>
              <w:rPr>
                <w:sz w:val="19"/>
                <w:szCs w:val="19"/>
              </w:rPr>
              <w:t xml:space="preserve">immediately before writing (at the moment Paula clicks approve), re-read the current NetSuite value and compare it to what she was shown. If it changed since the diff was computed, cancel the write and re-flag the item with the newer state rather than overwriting blindly. Also checking whether NetSuite's REST API exposes a last-modified timestamp for a stricter guard.</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built into the Phase 3 write-back design</w:t>
            </w:r>
          </w:p>
        </w:tc>
      </w:tr>
    </w:tbl>
    <w:p>
      <w:pPr>
        <w:pStyle w:val="Heading1"/>
        <w:spacing w:after="120" w:before="320"/>
      </w:pPr>
      <w:r>
        <w:t xml:space="preserve">3. Security and data handling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4550"/>
        <w:gridCol w:w="5690"/>
      </w:tblGrid>
      <w:tr>
        <w:trPr>
          <w:tblHeader/>
        </w:trPr>
        <w:tc>
          <w:tcPr>
            <w:tcW w:type="dxa" w:w="560"/>
            <w:shd w:fill="1F3864" w:color="auto" w:val="clear"/>
            <w:tcMar>
              <w:top w:type="dxa" w:w="80"/>
              <w:left w:type="dxa" w:w="100"/>
              <w:bottom w:type="dxa" w:w="80"/>
              <w:right w:type="dxa" w:w="100"/>
            </w:tcMar>
          </w:tcPr>
          <w:p>
            <w:pPr>
              <w:spacing w:after="60"/>
            </w:pPr>
            <w:r>
              <w:rPr>
                <w:b/>
                <w:bCs/>
                <w:color w:val="FFFFFF"/>
                <w:sz w:val="19"/>
                <w:szCs w:val="19"/>
              </w:rPr>
              <w:t xml:space="preserve">#</w:t>
            </w:r>
          </w:p>
        </w:tc>
        <w:tc>
          <w:tcPr>
            <w:tcW w:type="dxa" w:w="4550"/>
            <w:shd w:fill="1F3864" w:color="auto" w:val="clear"/>
            <w:tcMar>
              <w:top w:type="dxa" w:w="80"/>
              <w:left w:type="dxa" w:w="100"/>
              <w:bottom w:type="dxa" w:w="80"/>
              <w:right w:type="dxa" w:w="100"/>
            </w:tcMar>
          </w:tcPr>
          <w:p>
            <w:pPr>
              <w:spacing w:after="60"/>
            </w:pPr>
            <w:r>
              <w:rPr>
                <w:b/>
                <w:bCs/>
                <w:color w:val="FFFFFF"/>
                <w:sz w:val="19"/>
                <w:szCs w:val="19"/>
              </w:rPr>
              <w:t xml:space="preserve">Question</w:t>
            </w:r>
          </w:p>
        </w:tc>
        <w:tc>
          <w:tcPr>
            <w:tcW w:type="dxa" w:w="5690"/>
            <w:shd w:fill="1F3864" w:color="auto" w:val="clear"/>
            <w:tcMar>
              <w:top w:type="dxa" w:w="80"/>
              <w:left w:type="dxa" w:w="100"/>
              <w:bottom w:type="dxa" w:w="80"/>
              <w:right w:type="dxa" w:w="100"/>
            </w:tcMar>
          </w:tcPr>
          <w:p>
            <w:pPr>
              <w:spacing w:after="60"/>
            </w:pPr>
            <w:r>
              <w:rPr>
                <w:b/>
                <w:bCs/>
                <w:color w:val="FFFFFF"/>
                <w:sz w:val="19"/>
                <w:szCs w:val="19"/>
              </w:rPr>
              <w:t xml:space="preserve">Answer / Owner / Target date</w:t>
            </w:r>
          </w:p>
        </w:tc>
      </w:tr>
      <w:tr>
        <w:tc>
          <w:tcPr>
            <w:tcW w:type="dxa" w:w="560"/>
            <w:tcMar>
              <w:top w:type="dxa" w:w="100"/>
              <w:left w:type="dxa" w:w="100"/>
              <w:bottom w:type="dxa" w:w="100"/>
              <w:right w:type="dxa" w:w="100"/>
            </w:tcMar>
          </w:tcPr>
          <w:p>
            <w:pPr>
              <w:spacing w:after="60"/>
            </w:pPr>
            <w:r>
              <w:rPr>
                <w:sz w:val="19"/>
                <w:szCs w:val="19"/>
              </w:rPr>
              <w:t xml:space="preserve">3a</w:t>
            </w:r>
          </w:p>
        </w:tc>
        <w:tc>
          <w:tcPr>
            <w:tcW w:type="dxa" w:w="4550"/>
            <w:tcMar>
              <w:top w:type="dxa" w:w="100"/>
              <w:left w:type="dxa" w:w="100"/>
              <w:bottom w:type="dxa" w:w="100"/>
              <w:right w:type="dxa" w:w="100"/>
            </w:tcMar>
          </w:tcPr>
          <w:p>
            <w:pPr>
              <w:spacing w:after="60"/>
            </w:pPr>
            <w:r>
              <w:rPr>
                <w:sz w:val="19"/>
                <w:szCs w:val="19"/>
              </w:rPr>
              <w:t xml:space="preserve">Where does vendor attachment data land once read from Outlook, and how long is it retained in the Azure database?</w:t>
            </w:r>
          </w:p>
        </w:tc>
        <w:tc>
          <w:tcPr>
            <w:tcW w:type="dxa" w:w="5690"/>
            <w:tcMar>
              <w:top w:type="dxa" w:w="100"/>
              <w:left w:type="dxa" w:w="100"/>
              <w:bottom w:type="dxa" w:w="100"/>
              <w:right w:type="dxa" w:w="100"/>
            </w:tcMar>
          </w:tcPr>
          <w:p>
            <w:pPr>
              <w:spacing w:after="60"/>
            </w:pPr>
            <w:r>
              <w:rPr>
                <w:sz w:val="19"/>
                <w:szCs w:val="19"/>
              </w:rPr>
              <w:t xml:space="preserve">Not fully decided — this is a policy decision, not just a technical one, and we'd like Beth/Brandon's input rather than deciding it unilaterally.</w:t>
            </w:r>
          </w:p>
          <w:p>
            <w:pPr>
              <w:spacing w:after="60"/>
            </w:pPr>
            <w:r>
              <w:rPr>
                <w:sz w:val="19"/>
                <w:szCs w:val="19"/>
              </w:rPr>
              <w:t xml:space="preserve">Current plan: the database stores extracted structured values (PO #, style, color, size, quantity, dates) needed for matching and audit. Whether to also retain the original attachment files (useful for future disputes) and for how long is open — proposing Blob Storage with a defined retention window (e.g., 1 year) if we decide to keep them.</w:t>
            </w:r>
          </w:p>
          <w:p>
            <w:pPr>
              <w:spacing w:after="60"/>
            </w:pPr>
            <w:r>
              <w:rPr>
                <w:b/>
                <w:bCs/>
                <w:sz w:val="19"/>
                <w:szCs w:val="19"/>
              </w:rPr>
              <w:t xml:space="preserve">Owner: </w:t>
            </w:r>
            <w:r>
              <w:rPr>
                <w:sz w:val="19"/>
                <w:szCs w:val="19"/>
              </w:rPr>
              <w:t xml:space="preserve">Kiko, decision needed from Beth/Brandon</w:t>
            </w:r>
          </w:p>
          <w:p>
            <w:pPr>
              <w:spacing w:after="60"/>
            </w:pPr>
            <w:r>
              <w:rPr>
                <w:b/>
                <w:bCs/>
                <w:sz w:val="19"/>
                <w:szCs w:val="19"/>
              </w:rPr>
              <w:t xml:space="preserve">Target: </w:t>
            </w:r>
            <w:r>
              <w:rPr>
                <w:sz w:val="19"/>
                <w:szCs w:val="19"/>
              </w:rPr>
              <w:t xml:space="preserve">decide before Phase 2 database work begins</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3b</w:t>
            </w:r>
          </w:p>
        </w:tc>
        <w:tc>
          <w:tcPr>
            <w:tcW w:type="dxa" w:w="4550"/>
            <w:shd w:fill="EAF1FB" w:color="auto" w:val="clear"/>
            <w:tcMar>
              <w:top w:type="dxa" w:w="100"/>
              <w:left w:type="dxa" w:w="100"/>
              <w:bottom w:type="dxa" w:w="100"/>
              <w:right w:type="dxa" w:w="100"/>
            </w:tcMar>
          </w:tcPr>
          <w:p>
            <w:pPr>
              <w:spacing w:after="60"/>
            </w:pPr>
            <w:r>
              <w:rPr>
                <w:sz w:val="19"/>
                <w:szCs w:val="19"/>
              </w:rPr>
              <w:t xml:space="preserve">Who has access to that stored data, and is it encrypted at rest?</w:t>
            </w:r>
          </w:p>
        </w:tc>
        <w:tc>
          <w:tcPr>
            <w:tcW w:type="dxa" w:w="5690"/>
            <w:shd w:fill="EAF1FB" w:color="auto" w:val="clear"/>
            <w:tcMar>
              <w:top w:type="dxa" w:w="100"/>
              <w:left w:type="dxa" w:w="100"/>
              <w:bottom w:type="dxa" w:w="100"/>
              <w:right w:type="dxa" w:w="100"/>
            </w:tcMar>
          </w:tcPr>
          <w:p>
            <w:pPr>
              <w:spacing w:after="60"/>
            </w:pPr>
            <w:r>
              <w:rPr>
                <w:sz w:val="19"/>
                <w:szCs w:val="19"/>
              </w:rPr>
              <w:t xml:space="preserve">Yes, encrypted at rest by default — this is a standard Azure platform behavior, not something we build (Transparent Data Encryption on Azure SQL, Storage Service Encryption on Blob Storage).</w:t>
            </w:r>
          </w:p>
          <w:p>
            <w:pPr>
              <w:spacing w:after="60"/>
            </w:pPr>
            <w:r>
              <w:rPr>
                <w:sz w:val="19"/>
                <w:szCs w:val="19"/>
              </w:rPr>
              <w:t xml:space="preserve">Access is scoped via Azure role-based access control to the Function App's own managed identity plus named admins (Kiko, Brandon) — no shared credentials, no broad account access.</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Status: </w:t>
            </w:r>
            <w:r>
              <w:rPr>
                <w:sz w:val="19"/>
                <w:szCs w:val="19"/>
              </w:rPr>
              <w:t xml:space="preserve">confirmed, standard Azure defaults</w:t>
            </w:r>
          </w:p>
        </w:tc>
      </w:tr>
      <w:tr>
        <w:tc>
          <w:tcPr>
            <w:tcW w:type="dxa" w:w="560"/>
            <w:tcMar>
              <w:top w:type="dxa" w:w="100"/>
              <w:left w:type="dxa" w:w="100"/>
              <w:bottom w:type="dxa" w:w="100"/>
              <w:right w:type="dxa" w:w="100"/>
            </w:tcMar>
          </w:tcPr>
          <w:p>
            <w:pPr>
              <w:spacing w:after="60"/>
            </w:pPr>
            <w:r>
              <w:rPr>
                <w:sz w:val="19"/>
                <w:szCs w:val="19"/>
              </w:rPr>
              <w:t xml:space="preserve">3c</w:t>
            </w:r>
          </w:p>
        </w:tc>
        <w:tc>
          <w:tcPr>
            <w:tcW w:type="dxa" w:w="4550"/>
            <w:tcMar>
              <w:top w:type="dxa" w:w="100"/>
              <w:left w:type="dxa" w:w="100"/>
              <w:bottom w:type="dxa" w:w="100"/>
              <w:right w:type="dxa" w:w="100"/>
            </w:tcMar>
          </w:tcPr>
          <w:p>
            <w:pPr>
              <w:spacing w:after="60"/>
            </w:pPr>
            <w:r>
              <w:rPr>
                <w:sz w:val="19"/>
                <w:szCs w:val="19"/>
              </w:rPr>
              <w:t xml:space="preserve">What data actually gets sent to the Anthropic API for parsing? Confirm no more than what is needed line by line.</w:t>
            </w:r>
          </w:p>
        </w:tc>
        <w:tc>
          <w:tcPr>
            <w:tcW w:type="dxa" w:w="5690"/>
            <w:tcMar>
              <w:top w:type="dxa" w:w="100"/>
              <w:left w:type="dxa" w:w="100"/>
              <w:bottom w:type="dxa" w:w="100"/>
              <w:right w:type="dxa" w:w="100"/>
            </w:tcMar>
          </w:tcPr>
          <w:p>
            <w:pPr>
              <w:spacing w:after="60"/>
            </w:pPr>
            <w:r>
              <w:rPr>
                <w:sz w:val="19"/>
                <w:szCs w:val="19"/>
              </w:rPr>
              <w:t xml:space="preserve">Intended to be only the fields needed for the extraction schema — PO #, style, color, size, quantity, and ship dates — not full raw files or unrelated columns (e.g., vendor pricing/cost data, if present on a packing slip, should never be sent).</w:t>
            </w:r>
          </w:p>
          <w:p>
            <w:pPr>
              <w:spacing w:after="60"/>
            </w:pPr>
            <w:r>
              <w:rPr>
                <w:sz w:val="19"/>
                <w:szCs w:val="19"/>
              </w:rPr>
              <w:t xml:space="preserve">This narrowing hasn't been independently line-by-line verified in the current parsing code yet — flagging that as a to-do before sign-off, not asserting it's already airtight.</w:t>
            </w:r>
          </w:p>
          <w:p>
            <w:pPr>
              <w:spacing w:after="60"/>
            </w:pPr>
            <w:r>
              <w:rPr>
                <w:b/>
                <w:bCs/>
                <w:sz w:val="19"/>
                <w:szCs w:val="19"/>
              </w:rPr>
              <w:t xml:space="preserve">Also: </w:t>
            </w:r>
            <w:r>
              <w:rPr>
                <w:sz w:val="19"/>
                <w:szCs w:val="19"/>
              </w:rPr>
              <w:t xml:space="preserve">under Anthropic's current commercial API terms, API inputs/outputs are not used to train models and are deleted from Anthropic's backend within 30 days by default — a contractual term, not something we configure (source: Anthropic API and data retention docs).</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verify parsing code narrows fields before Phase 2 sign-off</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3d</w:t>
            </w:r>
          </w:p>
        </w:tc>
        <w:tc>
          <w:tcPr>
            <w:tcW w:type="dxa" w:w="4550"/>
            <w:shd w:fill="EAF1FB" w:color="auto" w:val="clear"/>
            <w:tcMar>
              <w:top w:type="dxa" w:w="100"/>
              <w:left w:type="dxa" w:w="100"/>
              <w:bottom w:type="dxa" w:w="100"/>
              <w:right w:type="dxa" w:w="100"/>
            </w:tcMar>
          </w:tcPr>
          <w:p>
            <w:pPr>
              <w:spacing w:after="60"/>
            </w:pPr>
            <w:r>
              <w:rPr>
                <w:sz w:val="19"/>
                <w:szCs w:val="19"/>
              </w:rPr>
              <w:t xml:space="preserve">Since this reads inbound vendor email attachments automatically before any human step, what stops a malformed or malicious attachment from causing a problem before Paula ever sees it?</w:t>
            </w:r>
          </w:p>
        </w:tc>
        <w:tc>
          <w:tcPr>
            <w:tcW w:type="dxa" w:w="5690"/>
            <w:shd w:fill="EAF1FB" w:color="auto" w:val="clear"/>
            <w:tcMar>
              <w:top w:type="dxa" w:w="100"/>
              <w:left w:type="dxa" w:w="100"/>
              <w:bottom w:type="dxa" w:w="100"/>
              <w:right w:type="dxa" w:w="100"/>
            </w:tcMar>
          </w:tcPr>
          <w:p>
            <w:pPr>
              <w:spacing w:after="60"/>
            </w:pPr>
            <w:r>
              <w:rPr>
                <w:sz w:val="19"/>
                <w:szCs w:val="19"/>
              </w:rPr>
              <w:t xml:space="preserve">Two layers already in the design: (1) attachment parsing fails safe — a file that can't be parsed is caught and routed to an error/flagged state, never crashes the job silently or gets skipped unnoticed; (2) the AI extraction step has no tools and no write access, so even a maliciously crafted document can at most produce a bad or low-confidence extraction — caught by confidence-flagging and Paula's review before anything is written, not by the model taking any action.</w:t>
            </w:r>
          </w:p>
          <w:p>
            <w:pPr>
              <w:spacing w:after="60"/>
            </w:pPr>
            <w:r>
              <w:rPr>
                <w:sz w:val="19"/>
                <w:szCs w:val="19"/>
              </w:rPr>
              <w:t xml:space="preserve">Not yet confirmed: whether Straight Down's Microsoft 365 tenant already applies attachment malware scanning to inbound mail (typical for Defender for Office 365) — if so, that's an existing layer we rely on rather than rebuild.</w:t>
            </w:r>
          </w:p>
          <w:p>
            <w:pPr>
              <w:spacing w:after="60"/>
            </w:pPr>
            <w:r>
              <w:rPr>
                <w:b/>
                <w:bCs/>
                <w:sz w:val="19"/>
                <w:szCs w:val="19"/>
              </w:rPr>
              <w:t xml:space="preserve">Owner: </w:t>
            </w:r>
            <w:r>
              <w:rPr>
                <w:sz w:val="19"/>
                <w:szCs w:val="19"/>
              </w:rPr>
              <w:t xml:space="preserve">Kiko + Brandon (confirm M365 attachment scanning with IT)</w:t>
            </w:r>
          </w:p>
          <w:p>
            <w:pPr>
              <w:spacing w:after="60"/>
            </w:pPr>
            <w:r>
              <w:rPr>
                <w:b/>
                <w:bCs/>
                <w:sz w:val="19"/>
                <w:szCs w:val="19"/>
              </w:rPr>
              <w:t xml:space="preserve">Target: </w:t>
            </w:r>
            <w:r>
              <w:rPr>
                <w:sz w:val="19"/>
                <w:szCs w:val="19"/>
              </w:rPr>
              <w:t xml:space="preserve">confirm this week</w:t>
            </w:r>
          </w:p>
        </w:tc>
      </w:tr>
    </w:tbl>
    <w:p>
      <w:pPr>
        <w:pStyle w:val="Heading1"/>
        <w:spacing w:after="120" w:before="320"/>
      </w:pPr>
      <w:r>
        <w:t xml:space="preserve">4. Monitoring and failure visibility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4550"/>
        <w:gridCol w:w="5690"/>
      </w:tblGrid>
      <w:tr>
        <w:trPr>
          <w:tblHeader/>
        </w:trPr>
        <w:tc>
          <w:tcPr>
            <w:tcW w:type="dxa" w:w="560"/>
            <w:shd w:fill="1F3864" w:color="auto" w:val="clear"/>
            <w:tcMar>
              <w:top w:type="dxa" w:w="80"/>
              <w:left w:type="dxa" w:w="100"/>
              <w:bottom w:type="dxa" w:w="80"/>
              <w:right w:type="dxa" w:w="100"/>
            </w:tcMar>
          </w:tcPr>
          <w:p>
            <w:pPr>
              <w:spacing w:after="60"/>
            </w:pPr>
            <w:r>
              <w:rPr>
                <w:b/>
                <w:bCs/>
                <w:color w:val="FFFFFF"/>
                <w:sz w:val="19"/>
                <w:szCs w:val="19"/>
              </w:rPr>
              <w:t xml:space="preserve">#</w:t>
            </w:r>
          </w:p>
        </w:tc>
        <w:tc>
          <w:tcPr>
            <w:tcW w:type="dxa" w:w="4550"/>
            <w:shd w:fill="1F3864" w:color="auto" w:val="clear"/>
            <w:tcMar>
              <w:top w:type="dxa" w:w="80"/>
              <w:left w:type="dxa" w:w="100"/>
              <w:bottom w:type="dxa" w:w="80"/>
              <w:right w:type="dxa" w:w="100"/>
            </w:tcMar>
          </w:tcPr>
          <w:p>
            <w:pPr>
              <w:spacing w:after="60"/>
            </w:pPr>
            <w:r>
              <w:rPr>
                <w:b/>
                <w:bCs/>
                <w:color w:val="FFFFFF"/>
                <w:sz w:val="19"/>
                <w:szCs w:val="19"/>
              </w:rPr>
              <w:t xml:space="preserve">Question</w:t>
            </w:r>
          </w:p>
        </w:tc>
        <w:tc>
          <w:tcPr>
            <w:tcW w:type="dxa" w:w="5690"/>
            <w:shd w:fill="1F3864" w:color="auto" w:val="clear"/>
            <w:tcMar>
              <w:top w:type="dxa" w:w="80"/>
              <w:left w:type="dxa" w:w="100"/>
              <w:bottom w:type="dxa" w:w="80"/>
              <w:right w:type="dxa" w:w="100"/>
            </w:tcMar>
          </w:tcPr>
          <w:p>
            <w:pPr>
              <w:spacing w:after="60"/>
            </w:pPr>
            <w:r>
              <w:rPr>
                <w:b/>
                <w:bCs/>
                <w:color w:val="FFFFFF"/>
                <w:sz w:val="19"/>
                <w:szCs w:val="19"/>
              </w:rPr>
              <w:t xml:space="preserve">Answer / Owner / Target date</w:t>
            </w:r>
          </w:p>
        </w:tc>
      </w:tr>
      <w:tr>
        <w:tc>
          <w:tcPr>
            <w:tcW w:type="dxa" w:w="560"/>
            <w:tcMar>
              <w:top w:type="dxa" w:w="100"/>
              <w:left w:type="dxa" w:w="100"/>
              <w:bottom w:type="dxa" w:w="100"/>
              <w:right w:type="dxa" w:w="100"/>
            </w:tcMar>
          </w:tcPr>
          <w:p>
            <w:pPr>
              <w:spacing w:after="60"/>
            </w:pPr>
            <w:r>
              <w:rPr>
                <w:sz w:val="19"/>
                <w:szCs w:val="19"/>
              </w:rPr>
              <w:t xml:space="preserve">4a</w:t>
            </w:r>
          </w:p>
        </w:tc>
        <w:tc>
          <w:tcPr>
            <w:tcW w:type="dxa" w:w="4550"/>
            <w:tcMar>
              <w:top w:type="dxa" w:w="100"/>
              <w:left w:type="dxa" w:w="100"/>
              <w:bottom w:type="dxa" w:w="100"/>
              <w:right w:type="dxa" w:w="100"/>
            </w:tcMar>
          </w:tcPr>
          <w:p>
            <w:pPr>
              <w:spacing w:after="60"/>
            </w:pPr>
            <w:r>
              <w:rPr>
                <w:sz w:val="19"/>
                <w:szCs w:val="19"/>
              </w:rPr>
              <w:t xml:space="preserve">If the tool fails to match a PO or line item, does anything alert Paula or anyone else?</w:t>
            </w:r>
          </w:p>
        </w:tc>
        <w:tc>
          <w:tcPr>
            <w:tcW w:type="dxa" w:w="5690"/>
            <w:tcMar>
              <w:top w:type="dxa" w:w="100"/>
              <w:left w:type="dxa" w:w="100"/>
              <w:bottom w:type="dxa" w:w="100"/>
              <w:right w:type="dxa" w:w="100"/>
            </w:tcMar>
          </w:tcPr>
          <w:p>
            <w:pPr>
              <w:spacing w:after="60"/>
            </w:pPr>
            <w:r>
              <w:rPr>
                <w:sz w:val="19"/>
                <w:szCs w:val="19"/>
              </w:rPr>
              <w:t xml:space="preserve">Partially designed — a failed match is flagged in the underlying data today, but whether it's surfaced as a distinct, hard-to-miss alert versus blending into a routine list isn't decided yet.</w:t>
            </w:r>
          </w:p>
          <w:p>
            <w:pPr>
              <w:spacing w:after="60"/>
            </w:pPr>
            <w:r>
              <w:rPr>
                <w:b/>
                <w:bCs/>
                <w:sz w:val="19"/>
                <w:szCs w:val="19"/>
              </w:rPr>
              <w:t xml:space="preserve">Plan: </w:t>
            </w:r>
            <w:r>
              <w:rPr>
                <w:sz w:val="19"/>
                <w:szCs w:val="19"/>
              </w:rPr>
              <w:t xml:space="preserve">give the review email a separate 'needs your attention' section, visually distinct from routine approvals.</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built into the Phase 3 review-email design</w:t>
            </w:r>
          </w:p>
        </w:tc>
      </w:tr>
      <w:tr>
        <w:tc>
          <w:tcPr>
            <w:tcW w:type="dxa" w:w="560"/>
            <w:shd w:fill="EAF1FB" w:color="auto" w:val="clear"/>
            <w:tcMar>
              <w:top w:type="dxa" w:w="100"/>
              <w:left w:type="dxa" w:w="100"/>
              <w:bottom w:type="dxa" w:w="100"/>
              <w:right w:type="dxa" w:w="100"/>
            </w:tcMar>
          </w:tcPr>
          <w:p>
            <w:pPr>
              <w:spacing w:after="60"/>
            </w:pPr>
            <w:r>
              <w:rPr>
                <w:sz w:val="19"/>
                <w:szCs w:val="19"/>
              </w:rPr>
              <w:t xml:space="preserve">4b</w:t>
            </w:r>
          </w:p>
        </w:tc>
        <w:tc>
          <w:tcPr>
            <w:tcW w:type="dxa" w:w="4550"/>
            <w:shd w:fill="EAF1FB" w:color="auto" w:val="clear"/>
            <w:tcMar>
              <w:top w:type="dxa" w:w="100"/>
              <w:left w:type="dxa" w:w="100"/>
              <w:bottom w:type="dxa" w:w="100"/>
              <w:right w:type="dxa" w:w="100"/>
            </w:tcMar>
          </w:tcPr>
          <w:p>
            <w:pPr>
              <w:spacing w:after="60"/>
            </w:pPr>
            <w:r>
              <w:rPr>
                <w:sz w:val="19"/>
                <w:szCs w:val="19"/>
              </w:rPr>
              <w:t xml:space="preserve">If a shipment silently does not get picked up, is there a way to know that gap exists, or does it just fall back to the old manual process unnoticed?</w:t>
            </w:r>
          </w:p>
        </w:tc>
        <w:tc>
          <w:tcPr>
            <w:tcW w:type="dxa" w:w="5690"/>
            <w:shd w:fill="EAF1FB" w:color="auto" w:val="clear"/>
            <w:tcMar>
              <w:top w:type="dxa" w:w="100"/>
              <w:left w:type="dxa" w:w="100"/>
              <w:bottom w:type="dxa" w:w="100"/>
              <w:right w:type="dxa" w:w="100"/>
            </w:tcMar>
          </w:tcPr>
          <w:p>
            <w:pPr>
              <w:spacing w:after="60"/>
            </w:pPr>
            <w:r>
              <w:rPr>
                <w:sz w:val="19"/>
                <w:szCs w:val="19"/>
              </w:rPr>
              <w:t xml:space="preserve">Not solved yet — this is already flagged in our own risk list as the top monitoring gap, not something we're claiming is handled.</w:t>
            </w:r>
          </w:p>
          <w:p>
            <w:pPr>
              <w:spacing w:after="60"/>
            </w:pPr>
            <w:r>
              <w:rPr>
                <w:b/>
                <w:bCs/>
                <w:sz w:val="19"/>
                <w:szCs w:val="19"/>
              </w:rPr>
              <w:t xml:space="preserve">Plan: </w:t>
            </w:r>
            <w:r>
              <w:rPr>
                <w:sz w:val="19"/>
                <w:szCs w:val="19"/>
              </w:rPr>
              <w:t xml:space="preserve">log every email the intake job sees with a status, regardless of outcome (processed, flagged, or errored), so 'silently not picked up' becomes structurally impossible. Add an Azure Application Insights alert for 'the polling job hasn't completed successfully in over N hours.'</w:t>
            </w:r>
          </w:p>
          <w:p>
            <w:pPr>
              <w:spacing w:after="60"/>
            </w:pPr>
            <w:r>
              <w:rPr>
                <w:b/>
                <w:bCs/>
                <w:sz w:val="19"/>
                <w:szCs w:val="19"/>
              </w:rPr>
              <w:t xml:space="preserve">Owner: </w:t>
            </w:r>
            <w:r>
              <w:rPr>
                <w:sz w:val="19"/>
                <w:szCs w:val="19"/>
              </w:rPr>
              <w:t xml:space="preserve">Kiko</w:t>
            </w:r>
          </w:p>
          <w:p>
            <w:pPr>
              <w:spacing w:after="60"/>
            </w:pPr>
            <w:r>
              <w:rPr>
                <w:b/>
                <w:bCs/>
                <w:sz w:val="19"/>
                <w:szCs w:val="19"/>
              </w:rPr>
              <w:t xml:space="preserve">Target: </w:t>
            </w:r>
            <w:r>
              <w:rPr>
                <w:sz w:val="19"/>
                <w:szCs w:val="19"/>
              </w:rPr>
              <w:t xml:space="preserve">logging built from the Phase 2 data model onward; alerting as part of Phase 4 hardening</w:t>
            </w:r>
          </w:p>
        </w:tc>
      </w:tr>
      <w:tr>
        <w:tc>
          <w:tcPr>
            <w:tcW w:type="dxa" w:w="560"/>
            <w:tcMar>
              <w:top w:type="dxa" w:w="100"/>
              <w:left w:type="dxa" w:w="100"/>
              <w:bottom w:type="dxa" w:w="100"/>
              <w:right w:type="dxa" w:w="100"/>
            </w:tcMar>
          </w:tcPr>
          <w:p>
            <w:pPr>
              <w:spacing w:after="60"/>
            </w:pPr>
            <w:r>
              <w:rPr>
                <w:sz w:val="19"/>
                <w:szCs w:val="19"/>
              </w:rPr>
              <w:t xml:space="preserve">4c</w:t>
            </w:r>
          </w:p>
        </w:tc>
        <w:tc>
          <w:tcPr>
            <w:tcW w:type="dxa" w:w="4550"/>
            <w:tcMar>
              <w:top w:type="dxa" w:w="100"/>
              <w:left w:type="dxa" w:w="100"/>
              <w:bottom w:type="dxa" w:w="100"/>
              <w:right w:type="dxa" w:w="100"/>
            </w:tcMar>
          </w:tcPr>
          <w:p>
            <w:pPr>
              <w:spacing w:after="60"/>
            </w:pPr>
            <w:r>
              <w:rPr>
                <w:sz w:val="19"/>
                <w:szCs w:val="19"/>
              </w:rPr>
              <w:t xml:space="preserve">Who checks in on this after launch to confirm shipments are not falling through?</w:t>
            </w:r>
          </w:p>
        </w:tc>
        <w:tc>
          <w:tcPr>
            <w:tcW w:type="dxa" w:w="5690"/>
            <w:tcMar>
              <w:top w:type="dxa" w:w="100"/>
              <w:left w:type="dxa" w:w="100"/>
              <w:bottom w:type="dxa" w:w="100"/>
              <w:right w:type="dxa" w:w="100"/>
            </w:tcMar>
          </w:tcPr>
          <w:p>
            <w:pPr>
              <w:spacing w:after="60"/>
            </w:pPr>
            <w:r>
              <w:rPr>
                <w:sz w:val="19"/>
                <w:szCs w:val="19"/>
              </w:rPr>
              <w:t xml:space="preserve">Not yet decided — an ownership question for this call, not something to answer unilaterally.</w:t>
            </w:r>
          </w:p>
          <w:p>
            <w:pPr>
              <w:spacing w:after="60"/>
            </w:pPr>
            <w:r>
              <w:rPr>
                <w:b/>
                <w:bCs/>
                <w:sz w:val="19"/>
                <w:szCs w:val="19"/>
              </w:rPr>
              <w:t xml:space="preserve">Proposal: </w:t>
            </w:r>
            <w:r>
              <w:rPr>
                <w:sz w:val="19"/>
                <w:szCs w:val="19"/>
              </w:rPr>
              <w:t xml:space="preserve">Kiko checks the monitoring dashboard/alerts weekly for the first month after go-live, then this becomes a shared responsibility with Brandon as part of the documented handoff below.</w:t>
            </w:r>
          </w:p>
          <w:p>
            <w:pPr>
              <w:spacing w:after="60"/>
            </w:pPr>
            <w:r>
              <w:rPr>
                <w:b/>
                <w:bCs/>
                <w:sz w:val="19"/>
                <w:szCs w:val="19"/>
              </w:rPr>
              <w:t xml:space="preserve">Owner: </w:t>
            </w:r>
            <w:r>
              <w:rPr>
                <w:sz w:val="19"/>
                <w:szCs w:val="19"/>
              </w:rPr>
              <w:t xml:space="preserve">Kiko + Brandon, needs sign-off</w:t>
            </w:r>
          </w:p>
          <w:p>
            <w:pPr>
              <w:spacing w:after="60"/>
            </w:pPr>
            <w:r>
              <w:rPr>
                <w:b/>
                <w:bCs/>
                <w:sz w:val="19"/>
                <w:szCs w:val="19"/>
              </w:rPr>
              <w:t xml:space="preserve">Target: </w:t>
            </w:r>
            <w:r>
              <w:rPr>
                <w:sz w:val="19"/>
                <w:szCs w:val="19"/>
              </w:rPr>
              <w:t xml:space="preserve">agree during this call</w:t>
            </w:r>
          </w:p>
        </w:tc>
      </w:tr>
    </w:tbl>
    <w:p>
      <w:pPr>
        <w:pStyle w:val="Heading1"/>
        <w:spacing w:after="120" w:before="320"/>
      </w:pPr>
      <w:r>
        <w:t xml:space="preserve">Ownership and handoff</w:t>
      </w:r>
    </w:p>
    <w:p>
      <w:pPr>
        <w:spacing w:after="120"/>
      </w:pPr>
      <w:r>
        <w:rPr>
          <w:b w:val="false"/>
          <w:bCs w:val="false"/>
          <w:i w:val="false"/>
          <w:iCs w:val="false"/>
          <w:sz w:val="21"/>
          <w:szCs w:val="21"/>
        </w:rPr>
        <w:t xml:space="preserve">Agreed as written. Documentation will be drafted in parallel with sandbox testing, not after, covering: how the tool matches emails to POs, how the diff logic works, where data is stored, and how to redeploy or roll back if something breaks. Brandon reviews and signs off on that documentation before this moves past sandbox testing, and it stays current regardless of whether Kiko's role changes after graduation.</w:t>
      </w:r>
    </w:p>
    <w:p>
      <w:pPr>
        <w:spacing w:after="120"/>
      </w:pPr>
      <w:r>
        <w:rPr>
          <w:b w:val="false"/>
          <w:bCs w:val="false"/>
          <w:i w:val="false"/>
          <w:iCs w:val="false"/>
          <w:sz w:val="21"/>
          <w:szCs w:val="21"/>
        </w:rPr>
        <w:t xml:space="preserve">Target: first complete documentation draft ready for Brandon's review before Phase 3 sign-off.</w:t>
      </w:r>
    </w:p>
    <w:p>
      <w:pPr>
        <w:pStyle w:val="Heading1"/>
        <w:spacing w:after="120" w:before="320"/>
      </w:pPr>
      <w:r>
        <w:t xml:space="preserve">Next steps</w:t>
      </w:r>
    </w:p>
    <w:p>
      <w:pPr>
        <w:pStyle w:val="ListParagraph"/>
        <w:numPr>
          <w:ilvl w:val="0"/>
          <w:numId w:val="2"/>
        </w:numPr>
        <w:spacing w:after="80"/>
      </w:pPr>
      <w:r>
        <w:rPr>
          <w:sz w:val="21"/>
          <w:szCs w:val="21"/>
        </w:rPr>
        <w:t xml:space="preserve">This document serves as Kiko and Brandon's written answers to the open items above.</w:t>
      </w:r>
    </w:p>
    <w:p>
      <w:pPr>
        <w:pStyle w:val="ListParagraph"/>
        <w:numPr>
          <w:ilvl w:val="0"/>
          <w:numId w:val="2"/>
        </w:numPr>
        <w:spacing w:after="80"/>
      </w:pPr>
      <w:r>
        <w:rPr>
          <w:sz w:val="21"/>
          <w:szCs w:val="21"/>
        </w:rPr>
        <w:t xml:space="preserve">Kiko drafts process documentation in parallel with sandbox testing, starting now.</w:t>
      </w:r>
    </w:p>
    <w:p>
      <w:pPr>
        <w:pStyle w:val="ListParagraph"/>
        <w:numPr>
          <w:ilvl w:val="0"/>
          <w:numId w:val="2"/>
        </w:numPr>
        <w:spacing w:after="80"/>
      </w:pPr>
      <w:r>
        <w:rPr>
          <w:sz w:val="21"/>
          <w:szCs w:val="21"/>
        </w:rPr>
        <w:t xml:space="preserve">Once the remaining open items (flagged above with target dates) are resolved and documentation is drafted, this returns to Beth and Brandon for rollback tier classification and final sign-off before any production NetSuite write access is used.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2026-08-07T16:36:46.743Z</dcterms:created>
  <dcterms:modified xsi:type="dcterms:W3CDTF">2026-08-07T16:36:46.743Z</dcterms:modified>
</cp:coreProperties>
</file>

<file path=docProps/custom.xml><?xml version="1.0" encoding="utf-8"?>
<Properties xmlns="http://schemas.openxmlformats.org/officeDocument/2006/custom-properties" xmlns:vt="http://schemas.openxmlformats.org/officeDocument/2006/docPropsVTypes"/>
</file>