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ind w:left="0" w:firstLine="0"/>
        <w:jc w:val="both"/>
        <w:rPr>
          <w:b w:val="1"/>
          <w:bCs w:val="1"/>
          <w:u w:val="single"/>
        </w:rPr>
      </w:pPr>
      <w:r w:rsidDel="00000000" w:rsidR="00000000" w:rsidRPr="00000000">
        <w:rPr>
          <w:rtl w:val="0"/>
        </w:rPr>
      </w:r>
    </w:p>
    <w:tbl>
      <w:tblPr>
        <w:tblStyle w:val="Table1"/>
        <w:tblW w:w="101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55"/>
        <w:tblGridChange w:id="0">
          <w:tblGrid>
            <w:gridCol w:w="10155"/>
          </w:tblGrid>
        </w:tblGridChange>
      </w:tblGrid>
      <w:tr>
        <w:trPr>
          <w:cantSplit w:val="0"/>
          <w:tblHeader w:val="0"/>
        </w:trPr>
        <w:tc>
          <w:tcPr>
            <w:shd w:fill="f9cb9c" w:val="clear"/>
            <w:tcMar>
              <w:top w:w="100.0" w:type="dxa"/>
              <w:left w:w="100.0" w:type="dxa"/>
              <w:bottom w:w="100.0" w:type="dxa"/>
              <w:right w:w="100.0" w:type="dxa"/>
            </w:tcMar>
            <w:vAlign w:val="top"/>
          </w:tcPr>
          <w:p w:rsidR="00000000" w:rsidDel="00000000" w:rsidP="00000000" w:rsidRDefault="00000000" w:rsidRPr="00000000" w14:paraId="00000002">
            <w:pPr>
              <w:jc w:val="both"/>
              <w:rPr>
                <w:b w:val="1"/>
                <w:bCs w:val="1"/>
                <w:u w:val="single"/>
              </w:rPr>
            </w:pPr>
            <w:r w:rsidDel="00000000" w:rsidR="00000000" w:rsidRPr="00000000">
              <w:rPr>
                <w:b w:val="1"/>
                <w:bCs w:val="1"/>
                <w:u w:val="single"/>
                <w:rtl w:val="0"/>
              </w:rPr>
              <w:t xml:space="preserve">Disclaimer:</w:t>
            </w:r>
          </w:p>
          <w:p w:rsidR="00000000" w:rsidDel="00000000" w:rsidP="00000000" w:rsidRDefault="00000000" w:rsidRPr="00000000" w14:paraId="00000003">
            <w:pPr>
              <w:numPr>
                <w:ilvl w:val="0"/>
                <w:numId w:val="3"/>
              </w:numPr>
              <w:ind w:left="720" w:hanging="360"/>
              <w:jc w:val="both"/>
              <w:rPr>
                <w:u w:val="none"/>
              </w:rPr>
            </w:pPr>
            <w:r w:rsidDel="00000000" w:rsidR="00000000" w:rsidRPr="00000000">
              <w:rPr>
                <w:rtl w:val="0"/>
              </w:rPr>
              <w:t xml:space="preserve">Cette documentation vous permet de </w:t>
            </w:r>
            <w:r w:rsidDel="00000000" w:rsidR="00000000" w:rsidRPr="00000000">
              <w:rPr>
                <w:b w:val="1"/>
                <w:bCs w:val="1"/>
                <w:rtl w:val="0"/>
              </w:rPr>
              <w:t xml:space="preserve">déployer des VM de façon générique</w:t>
            </w:r>
            <w:r w:rsidDel="00000000" w:rsidR="00000000" w:rsidRPr="00000000">
              <w:rPr>
                <w:rtl w:val="0"/>
              </w:rPr>
              <w:t xml:space="preserve"> dans le but d'en créer plusieurs similaires pour faire un lab de cybersécurité. Il est possible d'utiliser ProxMox pour d'autres projets mais ceci </w:t>
            </w:r>
            <w:r w:rsidDel="00000000" w:rsidR="00000000" w:rsidRPr="00000000">
              <w:rPr>
                <w:b w:val="1"/>
                <w:bCs w:val="1"/>
                <w:color w:val="ff0000"/>
                <w:rtl w:val="0"/>
              </w:rPr>
              <w:t xml:space="preserve">ne nous concerne pas</w:t>
            </w:r>
            <w:r w:rsidDel="00000000" w:rsidR="00000000" w:rsidRPr="00000000">
              <w:rPr>
                <w:rtl w:val="0"/>
              </w:rPr>
              <w:t xml:space="preserve">.</w:t>
            </w:r>
          </w:p>
          <w:p w:rsidR="00000000" w:rsidDel="00000000" w:rsidP="00000000" w:rsidRDefault="00000000" w:rsidRPr="00000000" w14:paraId="00000004">
            <w:pPr>
              <w:numPr>
                <w:ilvl w:val="0"/>
                <w:numId w:val="3"/>
              </w:numPr>
              <w:ind w:left="720" w:hanging="360"/>
              <w:jc w:val="both"/>
              <w:rPr>
                <w:u w:val="none"/>
              </w:rPr>
            </w:pPr>
            <w:r w:rsidDel="00000000" w:rsidR="00000000" w:rsidRPr="00000000">
              <w:rPr>
                <w:rtl w:val="0"/>
              </w:rPr>
              <w:t xml:space="preserve">Cette documentation </w:t>
            </w:r>
            <w:r w:rsidDel="00000000" w:rsidR="00000000" w:rsidRPr="00000000">
              <w:rPr>
                <w:b w:val="1"/>
                <w:bCs w:val="1"/>
                <w:color w:val="ff0000"/>
                <w:rtl w:val="0"/>
              </w:rPr>
              <w:t xml:space="preserve">ne concerne pas</w:t>
            </w:r>
            <w:r w:rsidDel="00000000" w:rsidR="00000000" w:rsidRPr="00000000">
              <w:rPr>
                <w:rtl w:val="0"/>
              </w:rPr>
              <w:t xml:space="preserve"> la configuration des VMs en elles-mêmes figurant dans une autre documentation.</w:t>
            </w:r>
          </w:p>
          <w:p w:rsidR="00000000" w:rsidDel="00000000" w:rsidP="00000000" w:rsidRDefault="00000000" w:rsidRPr="00000000" w14:paraId="00000005">
            <w:pPr>
              <w:numPr>
                <w:ilvl w:val="0"/>
                <w:numId w:val="3"/>
              </w:numPr>
              <w:ind w:left="720" w:hanging="360"/>
              <w:jc w:val="both"/>
              <w:rPr>
                <w:u w:val="none"/>
              </w:rPr>
            </w:pPr>
            <w:r w:rsidDel="00000000" w:rsidR="00000000" w:rsidRPr="00000000">
              <w:rPr>
                <w:rtl w:val="0"/>
              </w:rPr>
              <w:t xml:space="preserve">Cette documentation </w:t>
            </w:r>
            <w:r w:rsidDel="00000000" w:rsidR="00000000" w:rsidRPr="00000000">
              <w:rPr>
                <w:b w:val="1"/>
                <w:bCs w:val="1"/>
                <w:color w:val="ff0000"/>
                <w:rtl w:val="0"/>
              </w:rPr>
              <w:t xml:space="preserve">ne détaille pas</w:t>
            </w:r>
            <w:r w:rsidDel="00000000" w:rsidR="00000000" w:rsidRPr="00000000">
              <w:rPr>
                <w:rtl w:val="0"/>
              </w:rPr>
              <w:t xml:space="preserve"> les autres options de ProxMox car leur utilité est contestable dans le projet de lab de cybersécurité.</w:t>
            </w:r>
            <w:r w:rsidDel="00000000" w:rsidR="00000000" w:rsidRPr="00000000">
              <w:rPr>
                <w:rtl w:val="0"/>
              </w:rPr>
            </w:r>
          </w:p>
        </w:tc>
      </w:tr>
    </w:tbl>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drawing>
          <wp:inline distB="114300" distT="114300" distL="114300" distR="114300">
            <wp:extent cx="4320000" cy="2073600"/>
            <wp:effectExtent b="0" l="0" r="0" t="0"/>
            <wp:docPr id="3"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4320000" cy="20736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spacing w:after="160" w:line="278.00000000000006" w:lineRule="auto"/>
        <w:rPr>
          <w:rFonts w:ascii="Aptos" w:cs="Aptos" w:eastAsia="Aptos" w:hAnsi="Aptos"/>
          <w:b w:val="1"/>
          <w:bCs w:val="1"/>
          <w:sz w:val="32"/>
          <w:szCs w:val="32"/>
        </w:rPr>
      </w:pPr>
      <w:r w:rsidDel="00000000" w:rsidR="00000000" w:rsidRPr="00000000">
        <w:rPr>
          <w:rFonts w:ascii="Aptos" w:cs="Aptos" w:eastAsia="Aptos" w:hAnsi="Aptos"/>
          <w:b w:val="1"/>
          <w:bCs w:val="1"/>
          <w:sz w:val="32"/>
          <w:szCs w:val="32"/>
          <w:rtl w:val="0"/>
        </w:rPr>
        <w:t xml:space="preserve">Etape 1 : Créer une VM</w:t>
      </w:r>
    </w:p>
    <w:p w:rsidR="00000000" w:rsidDel="00000000" w:rsidP="00000000" w:rsidRDefault="00000000" w:rsidRPr="00000000" w14:paraId="0000000A">
      <w:pPr>
        <w:numPr>
          <w:ilvl w:val="0"/>
          <w:numId w:val="1"/>
        </w:numPr>
        <w:spacing w:after="0" w:afterAutospacing="0" w:line="278.00000000000006" w:lineRule="auto"/>
        <w:ind w:left="720" w:hanging="360"/>
        <w:rPr>
          <w:rFonts w:ascii="Aptos" w:cs="Aptos" w:eastAsia="Aptos" w:hAnsi="Aptos"/>
          <w:sz w:val="24"/>
          <w:szCs w:val="24"/>
        </w:rPr>
      </w:pPr>
      <w:r w:rsidDel="00000000" w:rsidR="00000000" w:rsidRPr="00000000">
        <w:rPr>
          <w:rFonts w:ascii="Aptos" w:cs="Aptos" w:eastAsia="Aptos" w:hAnsi="Aptos"/>
          <w:sz w:val="26"/>
          <w:szCs w:val="26"/>
          <w:rtl w:val="0"/>
        </w:rPr>
        <w:t xml:space="preserve">P</w:t>
      </w:r>
      <w:r w:rsidDel="00000000" w:rsidR="00000000" w:rsidRPr="00000000">
        <w:rPr>
          <w:rFonts w:ascii="Aptos" w:cs="Aptos" w:eastAsia="Aptos" w:hAnsi="Aptos"/>
          <w:sz w:val="26"/>
          <w:szCs w:val="26"/>
          <w:rtl w:val="0"/>
        </w:rPr>
        <w:t xml:space="preserve">our créer une VM, appuyer sur</w:t>
      </w:r>
      <w:r w:rsidDel="00000000" w:rsidR="00000000" w:rsidRPr="00000000">
        <w:rPr>
          <w:rFonts w:ascii="Aptos" w:cs="Aptos" w:eastAsia="Aptos" w:hAnsi="Aptos"/>
          <w:color w:val="ff0000"/>
          <w:sz w:val="26"/>
          <w:szCs w:val="26"/>
          <w:rtl w:val="0"/>
        </w:rPr>
        <w:t xml:space="preserve"> "Create VM"</w:t>
      </w:r>
      <w:r w:rsidDel="00000000" w:rsidR="00000000" w:rsidRPr="00000000">
        <w:rPr>
          <w:rFonts w:ascii="Aptos" w:cs="Aptos" w:eastAsia="Aptos" w:hAnsi="Aptos"/>
          <w:sz w:val="26"/>
          <w:szCs w:val="26"/>
          <w:rtl w:val="0"/>
        </w:rPr>
        <w:t xml:space="preserve"> en haut à droite de la page</w:t>
      </w:r>
    </w:p>
    <w:p w:rsidR="00000000" w:rsidDel="00000000" w:rsidP="00000000" w:rsidRDefault="00000000" w:rsidRPr="00000000" w14:paraId="0000000B">
      <w:pPr>
        <w:numPr>
          <w:ilvl w:val="0"/>
          <w:numId w:val="2"/>
        </w:numPr>
        <w:spacing w:after="160" w:line="278.00000000000006" w:lineRule="auto"/>
        <w:ind w:left="720" w:hanging="360"/>
        <w:rPr>
          <w:rFonts w:ascii="Aptos" w:cs="Aptos" w:eastAsia="Aptos" w:hAnsi="Aptos"/>
          <w:sz w:val="26"/>
          <w:szCs w:val="26"/>
        </w:rPr>
      </w:pPr>
      <w:r w:rsidDel="00000000" w:rsidR="00000000" w:rsidRPr="00000000">
        <w:rPr>
          <w:rFonts w:ascii="Aptos" w:cs="Aptos" w:eastAsia="Aptos" w:hAnsi="Aptos"/>
          <w:sz w:val="26"/>
          <w:szCs w:val="26"/>
          <w:rtl w:val="0"/>
        </w:rPr>
        <w:t xml:space="preserve">Une fois fait, nous arriverons sur l’onglet </w:t>
      </w:r>
      <w:r w:rsidDel="00000000" w:rsidR="00000000" w:rsidRPr="00000000">
        <w:rPr>
          <w:rFonts w:ascii="Aptos" w:cs="Aptos" w:eastAsia="Aptos" w:hAnsi="Aptos"/>
          <w:color w:val="ff0000"/>
          <w:sz w:val="26"/>
          <w:szCs w:val="26"/>
          <w:rtl w:val="0"/>
        </w:rPr>
        <w:t xml:space="preserve">« OS »</w:t>
      </w:r>
      <w:r w:rsidDel="00000000" w:rsidR="00000000" w:rsidRPr="00000000">
        <w:rPr>
          <w:rFonts w:ascii="Aptos" w:cs="Aptos" w:eastAsia="Aptos" w:hAnsi="Aptos"/>
          <w:sz w:val="26"/>
          <w:szCs w:val="26"/>
          <w:rtl w:val="0"/>
        </w:rPr>
        <w:t xml:space="preserve">. Choisissez votre espace de stockage, puis votre ISO, ensuite votre type (Windows, Linux, …), et enfin la version.</w:t>
      </w:r>
      <w:r w:rsidDel="00000000" w:rsidR="00000000" w:rsidRPr="00000000">
        <w:rPr>
          <w:rtl w:val="0"/>
        </w:rPr>
      </w:r>
    </w:p>
    <w:p w:rsidR="00000000" w:rsidDel="00000000" w:rsidP="00000000" w:rsidRDefault="00000000" w:rsidRPr="00000000" w14:paraId="0000000C">
      <w:pPr>
        <w:jc w:val="left"/>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drawing>
          <wp:inline distB="114300" distT="114300" distL="114300" distR="114300">
            <wp:extent cx="4320000" cy="3196800"/>
            <wp:effectExtent b="0" l="0" r="0" t="0"/>
            <wp:docPr id="7"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4320000" cy="31968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jc w:val="center"/>
        <w:rPr/>
      </w:pPr>
      <w:r w:rsidDel="00000000" w:rsidR="00000000" w:rsidRPr="00000000">
        <w:rPr>
          <w:rtl w:val="0"/>
        </w:rPr>
        <w:t xml:space="preserve">Étape 2 : Vous arrivez sur une nouvelle interface permettant de paramétrer la configuration de base de la VM, entrez le nom de la VM dans la case dédiée et cliquez sur suivant en bas à droite.</w:t>
      </w:r>
    </w:p>
    <w:p w:rsidR="00000000" w:rsidDel="00000000" w:rsidP="00000000" w:rsidRDefault="00000000" w:rsidRPr="00000000" w14:paraId="0000000F">
      <w:pPr>
        <w:jc w:val="left"/>
        <w:rPr/>
      </w:pPr>
      <w:r w:rsidDel="00000000" w:rsidR="00000000" w:rsidRPr="00000000">
        <w:rPr>
          <w:rtl w:val="0"/>
        </w:rPr>
      </w:r>
    </w:p>
    <w:p w:rsidR="00000000" w:rsidDel="00000000" w:rsidP="00000000" w:rsidRDefault="00000000" w:rsidRPr="00000000" w14:paraId="00000010">
      <w:pPr>
        <w:jc w:val="center"/>
        <w:rPr/>
      </w:pPr>
      <w:r w:rsidDel="00000000" w:rsidR="00000000" w:rsidRPr="00000000">
        <w:rPr/>
        <w:drawing>
          <wp:inline distB="114300" distT="114300" distL="114300" distR="114300">
            <wp:extent cx="4320000" cy="3196800"/>
            <wp:effectExtent b="0" l="0" r="0" t="0"/>
            <wp:docPr id="11"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4320000" cy="31968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jc w:val="center"/>
        <w:rPr/>
      </w:pPr>
      <w:r w:rsidDel="00000000" w:rsidR="00000000" w:rsidRPr="00000000">
        <w:rPr>
          <w:rtl w:val="0"/>
        </w:rPr>
        <w:t xml:space="preserve">Étape 3 : Dans l'onglet OS, sélectionnez l'image ISO que vous souhaitez utiliser (à importer vous même, pas d'ISO par défaut)</w:t>
        <w:br w:type="textWrapping"/>
        <w:t xml:space="preserve">Vous pouvez retrouver les ISO Linux et Windows sur les lien suivants:</w:t>
      </w:r>
    </w:p>
    <w:p w:rsidR="00000000" w:rsidDel="00000000" w:rsidP="00000000" w:rsidRDefault="00000000" w:rsidRPr="00000000" w14:paraId="00000012">
      <w:pPr>
        <w:numPr>
          <w:ilvl w:val="0"/>
          <w:numId w:val="4"/>
        </w:numPr>
        <w:ind w:left="720" w:hanging="360"/>
        <w:jc w:val="center"/>
        <w:rPr>
          <w:u w:val="none"/>
        </w:rPr>
      </w:pPr>
      <w:hyperlink r:id="rId9">
        <w:r w:rsidDel="00000000" w:rsidR="00000000" w:rsidRPr="00000000">
          <w:rPr>
            <w:color w:val="1155cc"/>
            <w:u w:val="single"/>
            <w:rtl w:val="0"/>
          </w:rPr>
          <w:t xml:space="preserve">https://www.netboot.xyz/downloads</w:t>
        </w:r>
      </w:hyperlink>
      <w:r w:rsidDel="00000000" w:rsidR="00000000" w:rsidRPr="00000000">
        <w:rPr>
          <w:rtl w:val="0"/>
        </w:rPr>
      </w:r>
    </w:p>
    <w:p w:rsidR="00000000" w:rsidDel="00000000" w:rsidP="00000000" w:rsidRDefault="00000000" w:rsidRPr="00000000" w14:paraId="00000013">
      <w:pPr>
        <w:numPr>
          <w:ilvl w:val="0"/>
          <w:numId w:val="4"/>
        </w:numPr>
        <w:ind w:left="720" w:hanging="360"/>
        <w:jc w:val="center"/>
        <w:rPr>
          <w:u w:val="none"/>
        </w:rPr>
      </w:pPr>
      <w:hyperlink r:id="rId10">
        <w:r w:rsidDel="00000000" w:rsidR="00000000" w:rsidRPr="00000000">
          <w:rPr>
            <w:color w:val="1155cc"/>
            <w:u w:val="single"/>
            <w:rtl w:val="0"/>
          </w:rPr>
          <w:t xml:space="preserve">https://www.microsoft.com/fr-fr/software-download/windows11</w:t>
        </w:r>
      </w:hyperlink>
      <w:r w:rsidDel="00000000" w:rsidR="00000000" w:rsidRPr="00000000">
        <w:rPr>
          <w:rtl w:val="0"/>
        </w:rPr>
      </w:r>
    </w:p>
    <w:p w:rsidR="00000000" w:rsidDel="00000000" w:rsidP="00000000" w:rsidRDefault="00000000" w:rsidRPr="00000000" w14:paraId="00000014">
      <w:pPr>
        <w:jc w:val="center"/>
        <w:rPr/>
      </w:pPr>
      <w:r w:rsidDel="00000000" w:rsidR="00000000" w:rsidRPr="00000000">
        <w:rPr>
          <w:rtl w:val="0"/>
        </w:rPr>
      </w:r>
    </w:p>
    <w:p w:rsidR="00000000" w:rsidDel="00000000" w:rsidP="00000000" w:rsidRDefault="00000000" w:rsidRPr="00000000" w14:paraId="00000015">
      <w:pPr>
        <w:jc w:val="center"/>
        <w:rPr/>
      </w:pPr>
      <w:r w:rsidDel="00000000" w:rsidR="00000000" w:rsidRPr="00000000">
        <w:rPr/>
        <w:drawing>
          <wp:inline distB="114300" distT="114300" distL="114300" distR="114300">
            <wp:extent cx="4320000" cy="3240000"/>
            <wp:effectExtent b="0" l="0" r="0" t="0"/>
            <wp:docPr id="2"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4320000" cy="32400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jc w:val="center"/>
        <w:rPr/>
      </w:pPr>
      <w:r w:rsidDel="00000000" w:rsidR="00000000" w:rsidRPr="00000000">
        <w:rPr>
          <w:rtl w:val="0"/>
        </w:rPr>
        <w:t xml:space="preserve">Étape 4 : Le système est paramétré de base avec l'ISO que vous utilisez, rien à modifier. Cliquez simplement sur "Next".</w:t>
      </w:r>
    </w:p>
    <w:p w:rsidR="00000000" w:rsidDel="00000000" w:rsidP="00000000" w:rsidRDefault="00000000" w:rsidRPr="00000000" w14:paraId="00000017">
      <w:pPr>
        <w:jc w:val="center"/>
        <w:rPr/>
      </w:pPr>
      <w:r w:rsidDel="00000000" w:rsidR="00000000" w:rsidRPr="00000000">
        <w:rPr>
          <w:rtl w:val="0"/>
        </w:rPr>
      </w:r>
    </w:p>
    <w:p w:rsidR="00000000" w:rsidDel="00000000" w:rsidP="00000000" w:rsidRDefault="00000000" w:rsidRPr="00000000" w14:paraId="00000018">
      <w:pPr>
        <w:jc w:val="center"/>
        <w:rPr/>
      </w:pPr>
      <w:r w:rsidDel="00000000" w:rsidR="00000000" w:rsidRPr="00000000">
        <w:rPr/>
        <w:drawing>
          <wp:inline distB="114300" distT="114300" distL="114300" distR="114300">
            <wp:extent cx="4320000" cy="3283200"/>
            <wp:effectExtent b="0" l="0" r="0" t="0"/>
            <wp:docPr id="5"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4320000" cy="32832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jc w:val="center"/>
        <w:rPr/>
      </w:pPr>
      <w:r w:rsidDel="00000000" w:rsidR="00000000" w:rsidRPr="00000000">
        <w:rPr>
          <w:rtl w:val="0"/>
        </w:rPr>
        <w:t xml:space="preserve">Étape 5 : Sélectionnez la taille du disque que vous voulez. Pour une Linux 10-20 GiB suffisent en général.</w:t>
      </w:r>
    </w:p>
    <w:p w:rsidR="00000000" w:rsidDel="00000000" w:rsidP="00000000" w:rsidRDefault="00000000" w:rsidRPr="00000000" w14:paraId="0000001A">
      <w:pPr>
        <w:jc w:val="center"/>
        <w:rPr/>
      </w:pPr>
      <w:r w:rsidDel="00000000" w:rsidR="00000000" w:rsidRPr="00000000">
        <w:rPr>
          <w:rtl w:val="0"/>
        </w:rPr>
      </w:r>
    </w:p>
    <w:p w:rsidR="00000000" w:rsidDel="00000000" w:rsidP="00000000" w:rsidRDefault="00000000" w:rsidRPr="00000000" w14:paraId="0000001B">
      <w:pPr>
        <w:jc w:val="center"/>
        <w:rPr/>
      </w:pPr>
      <w:r w:rsidDel="00000000" w:rsidR="00000000" w:rsidRPr="00000000">
        <w:rPr>
          <w:rtl w:val="0"/>
        </w:rPr>
      </w:r>
    </w:p>
    <w:p w:rsidR="00000000" w:rsidDel="00000000" w:rsidP="00000000" w:rsidRDefault="00000000" w:rsidRPr="00000000" w14:paraId="0000001C">
      <w:pPr>
        <w:jc w:val="center"/>
        <w:rPr/>
      </w:pPr>
      <w:r w:rsidDel="00000000" w:rsidR="00000000" w:rsidRPr="00000000">
        <w:rPr/>
        <w:drawing>
          <wp:inline distB="114300" distT="114300" distL="114300" distR="114300">
            <wp:extent cx="4320000" cy="3240000"/>
            <wp:effectExtent b="0" l="0" r="0" t="0"/>
            <wp:docPr id="8"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4320000" cy="32400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jc w:val="center"/>
        <w:rPr/>
      </w:pPr>
      <w:r w:rsidDel="00000000" w:rsidR="00000000" w:rsidRPr="00000000">
        <w:rPr>
          <w:rtl w:val="0"/>
        </w:rPr>
        <w:t xml:space="preserve">Étape 6 : Pas besoin de toucher au CPU, appuyez sur "Next".</w:t>
      </w:r>
    </w:p>
    <w:p w:rsidR="00000000" w:rsidDel="00000000" w:rsidP="00000000" w:rsidRDefault="00000000" w:rsidRPr="00000000" w14:paraId="0000001E">
      <w:pPr>
        <w:jc w:val="center"/>
        <w:rPr/>
      </w:pPr>
      <w:r w:rsidDel="00000000" w:rsidR="00000000" w:rsidRPr="00000000">
        <w:rPr>
          <w:rtl w:val="0"/>
        </w:rPr>
      </w:r>
    </w:p>
    <w:p w:rsidR="00000000" w:rsidDel="00000000" w:rsidP="00000000" w:rsidRDefault="00000000" w:rsidRPr="00000000" w14:paraId="0000001F">
      <w:pPr>
        <w:jc w:val="center"/>
        <w:rPr/>
      </w:pPr>
      <w:r w:rsidDel="00000000" w:rsidR="00000000" w:rsidRPr="00000000">
        <w:rPr/>
        <w:drawing>
          <wp:inline distB="114300" distT="114300" distL="114300" distR="114300">
            <wp:extent cx="4320000" cy="3240000"/>
            <wp:effectExtent b="0" l="0" r="0" t="0"/>
            <wp:docPr id="1"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4320000" cy="32400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jc w:val="center"/>
        <w:rPr/>
      </w:pPr>
      <w:r w:rsidDel="00000000" w:rsidR="00000000" w:rsidRPr="00000000">
        <w:rPr>
          <w:rtl w:val="0"/>
        </w:rPr>
        <w:t xml:space="preserve">Étape 7 : Choisissez la quantité de RAM de la machine, 2 GiB pour une linux sans interface graphique est largement suffisant sauf indications spécifiques. Ensuite "Next".</w:t>
      </w:r>
    </w:p>
    <w:p w:rsidR="00000000" w:rsidDel="00000000" w:rsidP="00000000" w:rsidRDefault="00000000" w:rsidRPr="00000000" w14:paraId="00000021">
      <w:pPr>
        <w:jc w:val="center"/>
        <w:rPr/>
      </w:pPr>
      <w:r w:rsidDel="00000000" w:rsidR="00000000" w:rsidRPr="00000000">
        <w:rPr>
          <w:rtl w:val="0"/>
        </w:rPr>
      </w:r>
    </w:p>
    <w:p w:rsidR="00000000" w:rsidDel="00000000" w:rsidP="00000000" w:rsidRDefault="00000000" w:rsidRPr="00000000" w14:paraId="00000022">
      <w:pPr>
        <w:jc w:val="center"/>
        <w:rPr/>
      </w:pPr>
      <w:r w:rsidDel="00000000" w:rsidR="00000000" w:rsidRPr="00000000">
        <w:rPr/>
        <w:drawing>
          <wp:inline distB="114300" distT="114300" distL="114300" distR="114300">
            <wp:extent cx="4320000" cy="3240000"/>
            <wp:effectExtent b="0" l="0" r="0" t="0"/>
            <wp:docPr id="6"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4320000" cy="32400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jc w:val="center"/>
        <w:rPr/>
      </w:pPr>
      <w:r w:rsidDel="00000000" w:rsidR="00000000" w:rsidRPr="00000000">
        <w:rPr>
          <w:rtl w:val="0"/>
        </w:rPr>
        <w:t xml:space="preserve">Étape 8 : Configuration du réseau : sauf indications précises, vous pouvez les laisser comme c'est déjà configuré. Puis "Next".</w:t>
      </w:r>
    </w:p>
    <w:p w:rsidR="00000000" w:rsidDel="00000000" w:rsidP="00000000" w:rsidRDefault="00000000" w:rsidRPr="00000000" w14:paraId="00000024">
      <w:pPr>
        <w:jc w:val="center"/>
        <w:rPr/>
      </w:pPr>
      <w:r w:rsidDel="00000000" w:rsidR="00000000" w:rsidRPr="00000000">
        <w:rPr>
          <w:rtl w:val="0"/>
        </w:rPr>
      </w:r>
    </w:p>
    <w:p w:rsidR="00000000" w:rsidDel="00000000" w:rsidP="00000000" w:rsidRDefault="00000000" w:rsidRPr="00000000" w14:paraId="00000025">
      <w:pPr>
        <w:jc w:val="center"/>
        <w:rPr/>
      </w:pPr>
      <w:r w:rsidDel="00000000" w:rsidR="00000000" w:rsidRPr="00000000">
        <w:rPr/>
        <w:drawing>
          <wp:inline distB="114300" distT="114300" distL="114300" distR="114300">
            <wp:extent cx="4320000" cy="3240000"/>
            <wp:effectExtent b="0" l="0" r="0" t="0"/>
            <wp:docPr id="10"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4320000" cy="32400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jc w:val="center"/>
        <w:rPr/>
      </w:pPr>
      <w:r w:rsidDel="00000000" w:rsidR="00000000" w:rsidRPr="00000000">
        <w:rPr>
          <w:rtl w:val="0"/>
        </w:rPr>
        <w:t xml:space="preserve">Étape 9 : Pas de manipulation possible, c'est simplement un récapitulatif de la VM que vous venez de faire pour vérifier que vous avez bien tout ce qu'il vous faut. "Finish".</w:t>
      </w:r>
    </w:p>
    <w:p w:rsidR="00000000" w:rsidDel="00000000" w:rsidP="00000000" w:rsidRDefault="00000000" w:rsidRPr="00000000" w14:paraId="00000027">
      <w:pPr>
        <w:jc w:val="center"/>
        <w:rPr/>
      </w:pPr>
      <w:r w:rsidDel="00000000" w:rsidR="00000000" w:rsidRPr="00000000">
        <w:rPr>
          <w:rtl w:val="0"/>
        </w:rPr>
      </w:r>
    </w:p>
    <w:p w:rsidR="00000000" w:rsidDel="00000000" w:rsidP="00000000" w:rsidRDefault="00000000" w:rsidRPr="00000000" w14:paraId="00000028">
      <w:pPr>
        <w:jc w:val="center"/>
        <w:rPr/>
      </w:pPr>
      <w:r w:rsidDel="00000000" w:rsidR="00000000" w:rsidRPr="00000000">
        <w:rPr/>
        <w:drawing>
          <wp:inline distB="114300" distT="114300" distL="114300" distR="114300">
            <wp:extent cx="1440000" cy="1301760"/>
            <wp:effectExtent b="0" l="0" r="0" t="0"/>
            <wp:docPr id="9"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1440000" cy="130176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jc w:val="center"/>
        <w:rPr/>
      </w:pPr>
      <w:r w:rsidDel="00000000" w:rsidR="00000000" w:rsidRPr="00000000">
        <w:rPr/>
        <w:drawing>
          <wp:inline distB="114300" distT="114300" distL="114300" distR="114300">
            <wp:extent cx="5400000" cy="2430000"/>
            <wp:effectExtent b="0" l="0" r="0" t="0"/>
            <wp:docPr id="4"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5400000" cy="24300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jc w:val="center"/>
        <w:rPr/>
      </w:pPr>
      <w:r w:rsidDel="00000000" w:rsidR="00000000" w:rsidRPr="00000000">
        <w:rPr>
          <w:rtl w:val="0"/>
        </w:rPr>
        <w:t xml:space="preserve">Étape 10 : Voilà, la VM est prête (visible dans Search) et vous pouvez la lancer avec clic-droit sur le nom de la VM puis "Lancer" ou "Run" (ça va mettre un peu de temps) ou en allant dans "Summary" et en appuyant sur "Start".</w:t>
      </w:r>
      <w:r w:rsidDel="00000000" w:rsidR="00000000" w:rsidRPr="00000000">
        <w:rPr>
          <w:rtl w:val="0"/>
        </w:rPr>
      </w:r>
    </w:p>
    <w:sectPr>
      <w:headerReference r:id="rId19" w:type="default"/>
      <w:headerReference r:id="rId20" w:type="first"/>
      <w:footerReference r:id="rId21" w:type="first"/>
      <w:pgSz w:h="16838" w:w="11906" w:orient="portrait"/>
      <w:pgMar w:bottom="1360.6299212598426" w:top="1122.5196850393702" w:left="1128.188976377953" w:right="623.6220472440946" w:header="566.9291338582677"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F">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B">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C">
    <w:pPr>
      <w:rPr/>
    </w:pPr>
    <w:r w:rsidDel="00000000" w:rsidR="00000000" w:rsidRPr="00000000">
      <w:rPr>
        <w:rtl w:val="0"/>
      </w:rPr>
    </w:r>
  </w:p>
  <w:tbl>
    <w:tblPr>
      <w:tblStyle w:val="Table2"/>
      <w:tblW w:w="101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55"/>
      <w:tblGridChange w:id="0">
        <w:tblGrid>
          <w:gridCol w:w="10155"/>
        </w:tblGrid>
      </w:tblGridChange>
    </w:tblGrid>
    <w:tr>
      <w:trPr>
        <w:cantSplit w:val="0"/>
        <w:tblHeader w:val="0"/>
      </w:trPr>
      <w:tc>
        <w:tcPr>
          <w:tcBorders>
            <w:top w:color="ff0000" w:space="0" w:sz="12" w:val="single"/>
            <w:left w:color="ff0000" w:space="0" w:sz="12" w:val="single"/>
            <w:bottom w:color="ff0000" w:space="0" w:sz="12" w:val="single"/>
            <w:right w:color="ff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ind w:right="0"/>
            <w:jc w:val="center"/>
            <w:rPr>
              <w:b w:val="1"/>
              <w:bCs w:val="1"/>
              <w:color w:val="0000ff"/>
              <w:sz w:val="30"/>
              <w:szCs w:val="30"/>
            </w:rPr>
          </w:pPr>
          <w:r w:rsidDel="00000000" w:rsidR="00000000" w:rsidRPr="00000000">
            <w:rPr>
              <w:b w:val="1"/>
              <w:bCs w:val="1"/>
              <w:color w:val="0000ff"/>
              <w:sz w:val="30"/>
              <w:szCs w:val="30"/>
              <w:rtl w:val="0"/>
            </w:rPr>
            <w:t xml:space="preserve">Déployer une VM sur ProxMox</w:t>
          </w:r>
        </w:p>
      </w:tc>
    </w:tr>
  </w:tbl>
  <w:p w:rsidR="00000000" w:rsidDel="00000000" w:rsidP="00000000" w:rsidRDefault="00000000" w:rsidRPr="00000000" w14:paraId="0000002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eader" Target="header2.xml"/><Relationship Id="rId11" Type="http://schemas.openxmlformats.org/officeDocument/2006/relationships/image" Target="media/image3.png"/><Relationship Id="rId10" Type="http://schemas.openxmlformats.org/officeDocument/2006/relationships/hyperlink" Target="https://www.microsoft.com/fr-fr/software-download/windows11" TargetMode="External"/><Relationship Id="rId21" Type="http://schemas.openxmlformats.org/officeDocument/2006/relationships/footer" Target="footer1.xml"/><Relationship Id="rId13" Type="http://schemas.openxmlformats.org/officeDocument/2006/relationships/image" Target="media/image5.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netboot.xyz/downloads" TargetMode="External"/><Relationship Id="rId15" Type="http://schemas.openxmlformats.org/officeDocument/2006/relationships/image" Target="media/image7.png"/><Relationship Id="rId14" Type="http://schemas.openxmlformats.org/officeDocument/2006/relationships/image" Target="media/image2.png"/><Relationship Id="rId17" Type="http://schemas.openxmlformats.org/officeDocument/2006/relationships/image" Target="media/image1.png"/><Relationship Id="rId16" Type="http://schemas.openxmlformats.org/officeDocument/2006/relationships/image" Target="media/image8.png"/><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image" Target="media/image4.png"/><Relationship Id="rId18" Type="http://schemas.openxmlformats.org/officeDocument/2006/relationships/image" Target="media/image11.png"/><Relationship Id="rId7" Type="http://schemas.openxmlformats.org/officeDocument/2006/relationships/image" Target="media/image10.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