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0D9B" w:rsidRDefault="008A0D9B" w:rsidP="004E4858">
      <w:pPr>
        <w:pBdr>
          <w:top w:val="single" w:sz="4" w:space="1" w:color="auto"/>
          <w:left w:val="single" w:sz="4" w:space="4" w:color="auto"/>
          <w:bottom w:val="single" w:sz="4" w:space="1" w:color="auto"/>
          <w:right w:val="single" w:sz="4" w:space="4" w:color="auto"/>
        </w:pBdr>
        <w:shd w:val="clear" w:color="auto" w:fill="FFFFFF"/>
        <w:spacing w:before="225" w:after="225" w:line="240" w:lineRule="auto"/>
        <w:jc w:val="center"/>
        <w:outlineLvl w:val="2"/>
        <w:rPr>
          <w:rFonts w:eastAsia="Times New Roman" w:cstheme="minorHAnsi"/>
          <w:b/>
          <w:bCs/>
          <w:color w:val="003B7D"/>
          <w:sz w:val="20"/>
          <w:szCs w:val="20"/>
          <w:lang w:eastAsia="fr-FR"/>
        </w:rPr>
      </w:pPr>
      <w:r w:rsidRPr="004D3D70">
        <w:rPr>
          <w:rFonts w:eastAsia="Times New Roman" w:cstheme="minorHAnsi"/>
          <w:b/>
          <w:bCs/>
          <w:color w:val="003B7D"/>
          <w:sz w:val="20"/>
          <w:szCs w:val="20"/>
          <w:lang w:eastAsia="fr-FR"/>
        </w:rPr>
        <w:t>Avis de la Banque de France sur la sécurité des paiements</w:t>
      </w:r>
    </w:p>
    <w:p w:rsidR="004E4858" w:rsidRPr="004D3D70" w:rsidRDefault="004E4858" w:rsidP="004E4858">
      <w:pPr>
        <w:pBdr>
          <w:top w:val="single" w:sz="4" w:space="1" w:color="auto"/>
          <w:left w:val="single" w:sz="4" w:space="4" w:color="auto"/>
          <w:bottom w:val="single" w:sz="4" w:space="1" w:color="auto"/>
          <w:right w:val="single" w:sz="4" w:space="4" w:color="auto"/>
        </w:pBdr>
        <w:shd w:val="clear" w:color="auto" w:fill="FFFFFF"/>
        <w:spacing w:before="225" w:after="225" w:line="240" w:lineRule="auto"/>
        <w:jc w:val="center"/>
        <w:outlineLvl w:val="2"/>
        <w:rPr>
          <w:rFonts w:eastAsia="Times New Roman" w:cstheme="minorHAnsi"/>
          <w:b/>
          <w:bCs/>
          <w:color w:val="003B7D"/>
          <w:sz w:val="20"/>
          <w:szCs w:val="20"/>
          <w:lang w:eastAsia="fr-FR"/>
        </w:rPr>
      </w:pPr>
      <w:r>
        <w:rPr>
          <w:rFonts w:eastAsia="Times New Roman" w:cstheme="minorHAnsi"/>
          <w:b/>
          <w:bCs/>
          <w:color w:val="003B7D"/>
          <w:sz w:val="20"/>
          <w:szCs w:val="20"/>
          <w:lang w:eastAsia="fr-FR"/>
        </w:rPr>
        <w:t>Fiche informative</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L’avis de la Banque de France (BDF) sur la sécurité des paiements d’un dossier transmis par l’ACPR (pour les établissements de paiement et les établissements de monnaie électronique) est construit en quatre temps.</w:t>
      </w:r>
    </w:p>
    <w:p w:rsidR="008A0D9B" w:rsidRPr="004D3D70" w:rsidRDefault="008A0D9B" w:rsidP="008A0D9B">
      <w:pPr>
        <w:shd w:val="clear" w:color="auto" w:fill="FFFFFF"/>
        <w:spacing w:before="225" w:after="225" w:line="240" w:lineRule="auto"/>
        <w:outlineLvl w:val="3"/>
        <w:rPr>
          <w:rFonts w:eastAsia="Times New Roman" w:cstheme="minorHAnsi"/>
          <w:b/>
          <w:bCs/>
          <w:color w:val="003B7D"/>
          <w:sz w:val="20"/>
          <w:szCs w:val="20"/>
          <w:lang w:eastAsia="fr-FR"/>
        </w:rPr>
      </w:pPr>
      <w:r w:rsidRPr="004D3D70">
        <w:rPr>
          <w:rFonts w:eastAsia="Times New Roman" w:cstheme="minorHAnsi"/>
          <w:b/>
          <w:bCs/>
          <w:color w:val="003B7D"/>
          <w:sz w:val="20"/>
          <w:szCs w:val="20"/>
          <w:lang w:eastAsia="fr-FR"/>
        </w:rPr>
        <w:t>1. Comprendre l’activité pour identifier les risques intrinsèques</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Dans ce premier temps, la BDF cherche à comprendre l’activité de l’établissement à travers des cinématiques claires faisant apparaitre les acteurs essentiels des services de paiements proposés ainsi que les flux d’échange de bout en bout et leurs natures.</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La BDF, en soutien de l’ACPR, vérifie entre autres que les services de paiements demandés sont cohérents avec les cinématiques. C’est également à cette phase que la BDF identifie les risques intrinsèques à l’activité en s’appuyant sur ses connaissances de la fraude.</w:t>
      </w:r>
    </w:p>
    <w:p w:rsidR="008A0D9B" w:rsidRPr="004D3D70" w:rsidRDefault="008A0D9B" w:rsidP="008A0D9B">
      <w:pPr>
        <w:shd w:val="clear" w:color="auto" w:fill="FFFFFF"/>
        <w:spacing w:before="225" w:after="225" w:line="240" w:lineRule="auto"/>
        <w:outlineLvl w:val="3"/>
        <w:rPr>
          <w:rFonts w:eastAsia="Times New Roman" w:cstheme="minorHAnsi"/>
          <w:b/>
          <w:bCs/>
          <w:color w:val="003B7D"/>
          <w:sz w:val="20"/>
          <w:szCs w:val="20"/>
          <w:lang w:eastAsia="fr-FR"/>
        </w:rPr>
      </w:pPr>
      <w:r w:rsidRPr="004D3D70">
        <w:rPr>
          <w:rFonts w:eastAsia="Times New Roman" w:cstheme="minorHAnsi"/>
          <w:b/>
          <w:bCs/>
          <w:color w:val="003B7D"/>
          <w:sz w:val="20"/>
          <w:szCs w:val="20"/>
          <w:lang w:eastAsia="fr-FR"/>
        </w:rPr>
        <w:t>2. Apprécier la qualité de la gouvernance en matière de sécurité des paiements</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La BDF s’assure que l’établissement présente une organisation claire des responsabilités et de la reddition des comptes, un dispositif de contrôle permanent et périodique, notamment en ce qui concerne l’application de la politique de sécurité du SI (PSSI) et le contrôle des prestataires de services essentiels externalisés (PSEE) et des agents, et un dispositif de continuité d’activité (PCA ou PUPA).</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La BDF s’assure également que l’établissement a mis en place un dispositif dyn</w:t>
      </w:r>
      <w:r w:rsidR="004D3D70">
        <w:rPr>
          <w:rFonts w:eastAsia="Times New Roman" w:cstheme="minorHAnsi"/>
          <w:color w:val="2F2F2F"/>
          <w:sz w:val="20"/>
          <w:szCs w:val="20"/>
          <w:lang w:eastAsia="fr-FR"/>
        </w:rPr>
        <w:t xml:space="preserve">amique d’évaluation des risques : </w:t>
      </w:r>
      <w:r w:rsidRPr="004D3D70">
        <w:rPr>
          <w:rFonts w:eastAsia="Times New Roman" w:cstheme="minorHAnsi"/>
          <w:color w:val="2F2F2F"/>
          <w:sz w:val="20"/>
          <w:szCs w:val="20"/>
          <w:lang w:eastAsia="fr-FR"/>
        </w:rPr>
        <w:t xml:space="preserve">une cartographie des risques (élément essentiel), un recensement de la fraude se traduisant par des </w:t>
      </w:r>
      <w:proofErr w:type="spellStart"/>
      <w:r w:rsidRPr="004D3D70">
        <w:rPr>
          <w:rFonts w:eastAsia="Times New Roman" w:cstheme="minorHAnsi"/>
          <w:color w:val="2F2F2F"/>
          <w:sz w:val="20"/>
          <w:szCs w:val="20"/>
          <w:lang w:eastAsia="fr-FR"/>
        </w:rPr>
        <w:t>reportings</w:t>
      </w:r>
      <w:proofErr w:type="spellEnd"/>
      <w:r w:rsidRPr="004D3D70">
        <w:rPr>
          <w:rFonts w:eastAsia="Times New Roman" w:cstheme="minorHAnsi"/>
          <w:color w:val="2F2F2F"/>
          <w:sz w:val="20"/>
          <w:szCs w:val="20"/>
          <w:lang w:eastAsia="fr-FR"/>
        </w:rPr>
        <w:t xml:space="preserve"> internes et à destination des autorités, un traitement réactif des incidents.</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Enfin, la BDF vérifie la mise en place de dispositifs permettant d’associer les utilisateurs à la lutte contre la fraude : une assistance commerciale, une assistance en cas de fraude, un dispositif de contestation des opérations ou de mise en opposition du moyen de paiement.</w:t>
      </w:r>
    </w:p>
    <w:tbl>
      <w:tblPr>
        <w:tblStyle w:val="Grilledutableau"/>
        <w:tblW w:w="0" w:type="auto"/>
        <w:shd w:val="clear" w:color="auto" w:fill="BDD6EE" w:themeFill="accent1" w:themeFillTint="66"/>
        <w:tblLook w:val="04A0" w:firstRow="1" w:lastRow="0" w:firstColumn="1" w:lastColumn="0" w:noHBand="0" w:noVBand="1"/>
      </w:tblPr>
      <w:tblGrid>
        <w:gridCol w:w="9062"/>
      </w:tblGrid>
      <w:tr w:rsidR="004D3D70" w:rsidRPr="004D3D70" w:rsidTr="004D3D70">
        <w:tc>
          <w:tcPr>
            <w:tcW w:w="9062" w:type="dxa"/>
            <w:shd w:val="clear" w:color="auto" w:fill="BDD6EE" w:themeFill="accent1" w:themeFillTint="66"/>
          </w:tcPr>
          <w:p w:rsidR="004D3D70" w:rsidRPr="004E4858" w:rsidRDefault="004D3D70" w:rsidP="004D3D70">
            <w:pPr>
              <w:rPr>
                <w:rFonts w:cstheme="minorHAnsi"/>
                <w:b/>
                <w:sz w:val="20"/>
                <w:szCs w:val="20"/>
              </w:rPr>
            </w:pPr>
            <w:r w:rsidRPr="004E4858">
              <w:rPr>
                <w:rFonts w:cstheme="minorHAnsi"/>
                <w:b/>
                <w:sz w:val="20"/>
                <w:szCs w:val="20"/>
              </w:rPr>
              <w:t xml:space="preserve">Les documents attendus sont : </w:t>
            </w:r>
          </w:p>
          <w:p w:rsidR="004D3D70" w:rsidRPr="004D3D70" w:rsidRDefault="004D3D70" w:rsidP="004D3D70">
            <w:pPr>
              <w:pStyle w:val="Paragraphedeliste"/>
              <w:numPr>
                <w:ilvl w:val="0"/>
                <w:numId w:val="4"/>
              </w:numPr>
              <w:rPr>
                <w:rFonts w:cstheme="minorHAnsi"/>
                <w:sz w:val="20"/>
                <w:szCs w:val="20"/>
              </w:rPr>
            </w:pPr>
            <w:proofErr w:type="gramStart"/>
            <w:r w:rsidRPr="004D3D70">
              <w:rPr>
                <w:rFonts w:cstheme="minorHAnsi"/>
                <w:sz w:val="20"/>
                <w:szCs w:val="20"/>
              </w:rPr>
              <w:t>la</w:t>
            </w:r>
            <w:proofErr w:type="gramEnd"/>
            <w:r w:rsidRPr="004D3D70">
              <w:rPr>
                <w:rFonts w:cstheme="minorHAnsi"/>
                <w:sz w:val="20"/>
                <w:szCs w:val="20"/>
              </w:rPr>
              <w:t xml:space="preserve"> politique de sécurité du système d’information (PSSI) avec une description du cycle de vie du document (qui valide, à quelle fréquence le document est revu, etc.) ;</w:t>
            </w:r>
          </w:p>
          <w:p w:rsidR="004D3D70" w:rsidRPr="004D3D70" w:rsidRDefault="004D3D70" w:rsidP="004D3D70">
            <w:pPr>
              <w:pStyle w:val="Paragraphedeliste"/>
              <w:numPr>
                <w:ilvl w:val="0"/>
                <w:numId w:val="4"/>
              </w:numPr>
              <w:rPr>
                <w:rFonts w:cstheme="minorHAnsi"/>
                <w:sz w:val="20"/>
                <w:szCs w:val="20"/>
              </w:rPr>
            </w:pPr>
            <w:proofErr w:type="gramStart"/>
            <w:r w:rsidRPr="004D3D70">
              <w:rPr>
                <w:rFonts w:cstheme="minorHAnsi"/>
                <w:sz w:val="20"/>
                <w:szCs w:val="20"/>
              </w:rPr>
              <w:t>la</w:t>
            </w:r>
            <w:proofErr w:type="gramEnd"/>
            <w:r w:rsidRPr="004D3D70">
              <w:rPr>
                <w:rFonts w:cstheme="minorHAnsi"/>
                <w:sz w:val="20"/>
                <w:szCs w:val="20"/>
              </w:rPr>
              <w:t xml:space="preserve"> méthodologie et la procédure de qualification et de suivi de la fraude (fournir </w:t>
            </w:r>
            <w:r w:rsidRPr="004D3D70">
              <w:rPr>
                <w:rFonts w:cstheme="minorHAnsi"/>
                <w:i/>
                <w:sz w:val="20"/>
                <w:szCs w:val="20"/>
              </w:rPr>
              <w:t>un tableau de bord de suivi de fraude</w:t>
            </w:r>
            <w:r w:rsidRPr="004D3D70">
              <w:rPr>
                <w:rFonts w:cstheme="minorHAnsi"/>
                <w:sz w:val="20"/>
                <w:szCs w:val="20"/>
              </w:rPr>
              <w:t>).</w:t>
            </w:r>
          </w:p>
          <w:p w:rsidR="004D3D70" w:rsidRPr="004D3D70" w:rsidRDefault="004D3D70" w:rsidP="004D3D70">
            <w:pPr>
              <w:pStyle w:val="Paragraphedeliste"/>
              <w:numPr>
                <w:ilvl w:val="0"/>
                <w:numId w:val="4"/>
              </w:numPr>
              <w:rPr>
                <w:rFonts w:cstheme="minorHAnsi"/>
                <w:sz w:val="20"/>
                <w:szCs w:val="20"/>
              </w:rPr>
            </w:pPr>
            <w:proofErr w:type="gramStart"/>
            <w:r w:rsidRPr="004D3D70">
              <w:rPr>
                <w:rFonts w:cstheme="minorHAnsi"/>
                <w:sz w:val="20"/>
                <w:szCs w:val="20"/>
              </w:rPr>
              <w:t>la</w:t>
            </w:r>
            <w:proofErr w:type="gramEnd"/>
            <w:r w:rsidRPr="004D3D70">
              <w:rPr>
                <w:rFonts w:cstheme="minorHAnsi"/>
                <w:sz w:val="20"/>
                <w:szCs w:val="20"/>
              </w:rPr>
              <w:t xml:space="preserve"> cartographie des risques incluant les risques de fraude (interne et externe) en lien avec les moyens de paiement utilisés ainsi que les mesures de sécurités permettant de réduire ces risques. Exemple : pour un établissement collectant des </w:t>
            </w:r>
            <w:proofErr w:type="spellStart"/>
            <w:r w:rsidRPr="004D3D70">
              <w:rPr>
                <w:rFonts w:cstheme="minorHAnsi"/>
                <w:sz w:val="20"/>
                <w:szCs w:val="20"/>
              </w:rPr>
              <w:t>IBANs</w:t>
            </w:r>
            <w:proofErr w:type="spellEnd"/>
            <w:r w:rsidRPr="004D3D70">
              <w:rPr>
                <w:rFonts w:cstheme="minorHAnsi"/>
                <w:sz w:val="20"/>
                <w:szCs w:val="20"/>
              </w:rPr>
              <w:t xml:space="preserve">, la cartographie doit mentionner le risque de fraude de vol ou de modification des </w:t>
            </w:r>
            <w:proofErr w:type="spellStart"/>
            <w:r w:rsidRPr="004D3D70">
              <w:rPr>
                <w:rFonts w:cstheme="minorHAnsi"/>
                <w:sz w:val="20"/>
                <w:szCs w:val="20"/>
              </w:rPr>
              <w:t>IBANs</w:t>
            </w:r>
            <w:proofErr w:type="spellEnd"/>
          </w:p>
          <w:p w:rsidR="004D3D70" w:rsidRPr="004D3D70" w:rsidRDefault="004D3D70" w:rsidP="004D3D70">
            <w:pPr>
              <w:pStyle w:val="Paragraphedeliste"/>
              <w:numPr>
                <w:ilvl w:val="0"/>
                <w:numId w:val="4"/>
              </w:numPr>
              <w:rPr>
                <w:rFonts w:cstheme="minorHAnsi"/>
                <w:sz w:val="20"/>
                <w:szCs w:val="20"/>
              </w:rPr>
            </w:pPr>
            <w:proofErr w:type="gramStart"/>
            <w:r w:rsidRPr="004D3D70">
              <w:rPr>
                <w:rFonts w:cstheme="minorHAnsi"/>
                <w:sz w:val="20"/>
                <w:szCs w:val="20"/>
              </w:rPr>
              <w:t>la</w:t>
            </w:r>
            <w:proofErr w:type="gramEnd"/>
            <w:r w:rsidRPr="004D3D70">
              <w:rPr>
                <w:rFonts w:cstheme="minorHAnsi"/>
                <w:sz w:val="20"/>
                <w:szCs w:val="20"/>
              </w:rPr>
              <w:t xml:space="preserve"> procédure décrivant le suivi des PSEE et comment ce suivi est remonté aux organes de surveillance de l’établissement en matière de lutte contre la fraude.</w:t>
            </w:r>
          </w:p>
          <w:p w:rsidR="004D3D70" w:rsidRPr="004D3D70" w:rsidRDefault="004D3D70" w:rsidP="004D3D70">
            <w:pPr>
              <w:pStyle w:val="Paragraphedeliste"/>
              <w:numPr>
                <w:ilvl w:val="0"/>
                <w:numId w:val="4"/>
              </w:numPr>
              <w:rPr>
                <w:rFonts w:cstheme="minorHAnsi"/>
                <w:sz w:val="20"/>
                <w:szCs w:val="20"/>
              </w:rPr>
            </w:pPr>
            <w:proofErr w:type="gramStart"/>
            <w:r w:rsidRPr="004D3D70">
              <w:rPr>
                <w:rFonts w:cstheme="minorHAnsi"/>
                <w:sz w:val="20"/>
                <w:szCs w:val="20"/>
              </w:rPr>
              <w:t>les</w:t>
            </w:r>
            <w:proofErr w:type="gramEnd"/>
            <w:r w:rsidRPr="004D3D70">
              <w:rPr>
                <w:rFonts w:cstheme="minorHAnsi"/>
                <w:sz w:val="20"/>
                <w:szCs w:val="20"/>
              </w:rPr>
              <w:t xml:space="preserve"> éléments probants qui attestent de la capacité de l’établissement à répondre aux trois collectes statistiques de la Banque de France (cartographie des moyens de paiement scripturaux, recensement de la fraude aux moyens de paiement scripturaux, déclaration trimestrielle des opérations impliquant des non-IFM)</w:t>
            </w:r>
          </w:p>
          <w:p w:rsidR="004D3D70" w:rsidRPr="004D3D70" w:rsidRDefault="004D3D70" w:rsidP="004D3D70">
            <w:pPr>
              <w:pStyle w:val="Paragraphedeliste"/>
              <w:numPr>
                <w:ilvl w:val="0"/>
                <w:numId w:val="4"/>
              </w:numPr>
              <w:rPr>
                <w:rFonts w:cstheme="minorHAnsi"/>
                <w:sz w:val="20"/>
                <w:szCs w:val="20"/>
              </w:rPr>
            </w:pPr>
            <w:proofErr w:type="gramStart"/>
            <w:r w:rsidRPr="004D3D70">
              <w:rPr>
                <w:rFonts w:cstheme="minorHAnsi"/>
                <w:sz w:val="20"/>
                <w:szCs w:val="20"/>
              </w:rPr>
              <w:t>les</w:t>
            </w:r>
            <w:proofErr w:type="gramEnd"/>
            <w:r w:rsidRPr="004D3D70">
              <w:rPr>
                <w:rFonts w:cstheme="minorHAnsi"/>
                <w:sz w:val="20"/>
                <w:szCs w:val="20"/>
              </w:rPr>
              <w:t xml:space="preserve"> procédures de déclaration des </w:t>
            </w:r>
            <w:r w:rsidRPr="004D3D70">
              <w:rPr>
                <w:rFonts w:cstheme="minorHAnsi"/>
                <w:b/>
                <w:sz w:val="20"/>
                <w:szCs w:val="20"/>
              </w:rPr>
              <w:t xml:space="preserve">incidents opérationnels et de </w:t>
            </w:r>
            <w:proofErr w:type="gramStart"/>
            <w:r w:rsidRPr="004D3D70">
              <w:rPr>
                <w:rFonts w:cstheme="minorHAnsi"/>
                <w:b/>
                <w:sz w:val="20"/>
                <w:szCs w:val="20"/>
              </w:rPr>
              <w:t>sécurité majeurs</w:t>
            </w:r>
            <w:proofErr w:type="gramEnd"/>
            <w:r w:rsidRPr="004D3D70">
              <w:rPr>
                <w:rFonts w:cstheme="minorHAnsi"/>
                <w:sz w:val="20"/>
                <w:szCs w:val="20"/>
              </w:rPr>
              <w:t xml:space="preserve"> au sens des orientations de l’Autorité bancaire européenne (EBA/GL/2021/03) et la procédure de déclaration à la Banque de France des </w:t>
            </w:r>
            <w:r w:rsidRPr="004D3D70">
              <w:rPr>
                <w:rFonts w:cstheme="minorHAnsi"/>
                <w:b/>
                <w:sz w:val="20"/>
                <w:szCs w:val="20"/>
              </w:rPr>
              <w:t>refus de remboursement immédiats des opérations contestées</w:t>
            </w:r>
            <w:r w:rsidRPr="004D3D70">
              <w:rPr>
                <w:rFonts w:cstheme="minorHAnsi"/>
                <w:sz w:val="20"/>
                <w:szCs w:val="20"/>
              </w:rPr>
              <w:t xml:space="preserve"> (article L133-18 du code monétaire et financier). </w:t>
            </w:r>
          </w:p>
        </w:tc>
      </w:tr>
    </w:tbl>
    <w:p w:rsidR="008A0D9B" w:rsidRPr="004D3D70" w:rsidRDefault="008A0D9B" w:rsidP="008A0D9B">
      <w:pPr>
        <w:shd w:val="clear" w:color="auto" w:fill="FFFFFF"/>
        <w:spacing w:before="225" w:after="225" w:line="240" w:lineRule="auto"/>
        <w:outlineLvl w:val="3"/>
        <w:rPr>
          <w:rFonts w:eastAsia="Times New Roman" w:cstheme="minorHAnsi"/>
          <w:b/>
          <w:bCs/>
          <w:color w:val="003B7D"/>
          <w:sz w:val="20"/>
          <w:szCs w:val="20"/>
          <w:lang w:eastAsia="fr-FR"/>
        </w:rPr>
      </w:pPr>
      <w:r w:rsidRPr="004D3D70">
        <w:rPr>
          <w:rFonts w:eastAsia="Times New Roman" w:cstheme="minorHAnsi"/>
          <w:b/>
          <w:bCs/>
          <w:color w:val="003B7D"/>
          <w:sz w:val="20"/>
          <w:szCs w:val="20"/>
          <w:lang w:eastAsia="fr-FR"/>
        </w:rPr>
        <w:t>3. Évaluer la sécurité physique et logique de l’environnement technique des opérations de paiement</w:t>
      </w:r>
    </w:p>
    <w:p w:rsidR="008A0D9B" w:rsidRPr="004D3D70" w:rsidRDefault="008A0D9B" w:rsidP="008A0D9B">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Dans un premier temps, la BDF évalue la sécurité physique et la logique des instruments de paiement mis en jeu dans le dossier. L’objectif est de détecter les éventuels maillons techniques faibles. Dans un deuxième temps, la BDF évalue la sécurité physique et la logique du système d’information (SI), en particulier l’architecture technique détaillée, la gestion des droits d’accès, des données sensibles de paiement, des sauvegardes, des certificats et des clés de chiffrement. L’établissement doit être en capacité de protéger les données sensibles de paiement et assurer la robustesse de son SI.</w:t>
      </w:r>
    </w:p>
    <w:p w:rsidR="004D3D70" w:rsidRDefault="008A0D9B" w:rsidP="004D3D70">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Pour chaque service de paiement, les attentes de la BDF en termes de sécurisation des donn</w:t>
      </w:r>
      <w:r w:rsidR="004D3D70">
        <w:rPr>
          <w:rFonts w:eastAsia="Times New Roman" w:cstheme="minorHAnsi"/>
          <w:color w:val="2F2F2F"/>
          <w:sz w:val="20"/>
          <w:szCs w:val="20"/>
          <w:lang w:eastAsia="fr-FR"/>
        </w:rPr>
        <w:t xml:space="preserve">ées sensibles de paiement sont : </w:t>
      </w:r>
    </w:p>
    <w:p w:rsidR="004D3D70" w:rsidRPr="004E4858" w:rsidRDefault="008A0D9B" w:rsidP="004E4858">
      <w:pPr>
        <w:pStyle w:val="Paragraphedeliste"/>
        <w:numPr>
          <w:ilvl w:val="0"/>
          <w:numId w:val="4"/>
        </w:numPr>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La description des données s</w:t>
      </w:r>
      <w:r w:rsidRPr="004E4858">
        <w:rPr>
          <w:rFonts w:eastAsia="Times New Roman" w:cstheme="minorHAnsi"/>
          <w:color w:val="2F2F2F"/>
          <w:sz w:val="20"/>
          <w:szCs w:val="20"/>
          <w:lang w:eastAsia="fr-FR"/>
        </w:rPr>
        <w:t>ensibles</w:t>
      </w:r>
      <w:r w:rsidR="00E03B2E" w:rsidRPr="004E4858">
        <w:rPr>
          <w:rFonts w:eastAsia="Times New Roman" w:cstheme="minorHAnsi"/>
          <w:color w:val="2F2F2F"/>
          <w:sz w:val="20"/>
          <w:szCs w:val="20"/>
          <w:lang w:eastAsia="fr-FR"/>
        </w:rPr>
        <w:t xml:space="preserve"> de paiement</w:t>
      </w:r>
      <w:r w:rsidRPr="004E4858">
        <w:rPr>
          <w:rFonts w:eastAsia="Times New Roman" w:cstheme="minorHAnsi"/>
          <w:color w:val="2F2F2F"/>
          <w:sz w:val="20"/>
          <w:szCs w:val="20"/>
          <w:lang w:eastAsia="fr-FR"/>
        </w:rPr>
        <w:t xml:space="preserve"> collectées et/ou en transit dans le système d’information de l’établissement</w:t>
      </w:r>
      <w:r w:rsidR="00E03B2E" w:rsidRPr="004E4858">
        <w:rPr>
          <w:rFonts w:eastAsia="Times New Roman" w:cstheme="minorHAnsi"/>
          <w:color w:val="2F2F2F"/>
          <w:sz w:val="20"/>
          <w:szCs w:val="20"/>
          <w:lang w:eastAsia="fr-FR"/>
        </w:rPr>
        <w:t xml:space="preserve"> </w:t>
      </w:r>
      <w:r w:rsidR="00E03B2E" w:rsidRPr="004E4858">
        <w:rPr>
          <w:rFonts w:cstheme="minorHAnsi"/>
          <w:sz w:val="20"/>
          <w:szCs w:val="20"/>
        </w:rPr>
        <w:t>(exemple :  IBAN, mandats de prélèvement, numéro de carte, etc.)</w:t>
      </w:r>
      <w:r w:rsidRPr="004E4858">
        <w:rPr>
          <w:rFonts w:eastAsia="Times New Roman" w:cstheme="minorHAnsi"/>
          <w:color w:val="2F2F2F"/>
          <w:sz w:val="20"/>
          <w:szCs w:val="20"/>
          <w:lang w:eastAsia="fr-FR"/>
        </w:rPr>
        <w:t> ;</w:t>
      </w:r>
    </w:p>
    <w:p w:rsidR="00E03B2E" w:rsidRPr="004E4858" w:rsidRDefault="008A0D9B" w:rsidP="004E4858">
      <w:pPr>
        <w:pStyle w:val="Paragraphedeliste"/>
        <w:numPr>
          <w:ilvl w:val="0"/>
          <w:numId w:val="4"/>
        </w:numPr>
        <w:spacing w:before="225" w:after="225" w:line="240" w:lineRule="auto"/>
        <w:rPr>
          <w:rFonts w:eastAsia="Times New Roman" w:cstheme="minorHAnsi"/>
          <w:color w:val="2F2F2F"/>
          <w:sz w:val="20"/>
          <w:szCs w:val="20"/>
          <w:lang w:eastAsia="fr-FR"/>
        </w:rPr>
      </w:pPr>
      <w:r w:rsidRPr="004E4858">
        <w:rPr>
          <w:rFonts w:eastAsia="Times New Roman" w:cstheme="minorHAnsi"/>
          <w:color w:val="2F2F2F"/>
          <w:sz w:val="20"/>
          <w:szCs w:val="20"/>
          <w:lang w:eastAsia="fr-FR"/>
        </w:rPr>
        <w:t>La description des conditions de stockage et de transmission de ces données. La BDF examinera avec attention la durée de conservation, les algorithmes de chiffrement ou de scellement et les tailles de clés utilisés, les mécanismes de contrôle d’accès mis en place ainsi que toutes mesures de sécurité déployées afin de protéger la confidentialité et l’intégrité de ces données</w:t>
      </w:r>
      <w:r w:rsidR="00E03B2E" w:rsidRPr="004E4858">
        <w:rPr>
          <w:rFonts w:eastAsia="Times New Roman" w:cstheme="minorHAnsi"/>
          <w:color w:val="2F2F2F"/>
          <w:sz w:val="20"/>
          <w:szCs w:val="20"/>
          <w:lang w:eastAsia="fr-FR"/>
        </w:rPr>
        <w:t xml:space="preserve"> </w:t>
      </w:r>
      <w:r w:rsidR="00E03B2E" w:rsidRPr="004E4858">
        <w:rPr>
          <w:rFonts w:cstheme="minorHAnsi"/>
          <w:sz w:val="20"/>
          <w:szCs w:val="20"/>
        </w:rPr>
        <w:t>(HSM, coffre-fort logiciel, etc.)</w:t>
      </w:r>
      <w:r w:rsidRPr="004E4858">
        <w:rPr>
          <w:rFonts w:eastAsia="Times New Roman" w:cstheme="minorHAnsi"/>
          <w:color w:val="2F2F2F"/>
          <w:sz w:val="20"/>
          <w:szCs w:val="20"/>
          <w:lang w:eastAsia="fr-FR"/>
        </w:rPr>
        <w:t>.</w:t>
      </w:r>
      <w:r w:rsidR="00E03B2E" w:rsidRPr="004E4858">
        <w:rPr>
          <w:rFonts w:eastAsia="Times New Roman" w:cstheme="minorHAnsi"/>
          <w:color w:val="2F2F2F"/>
          <w:sz w:val="20"/>
          <w:szCs w:val="20"/>
          <w:lang w:eastAsia="fr-FR"/>
        </w:rPr>
        <w:t xml:space="preserve"> </w:t>
      </w:r>
    </w:p>
    <w:tbl>
      <w:tblPr>
        <w:tblStyle w:val="Grilledutableau"/>
        <w:tblW w:w="0" w:type="auto"/>
        <w:shd w:val="clear" w:color="auto" w:fill="BFBFBF" w:themeFill="background1" w:themeFillShade="BF"/>
        <w:tblLook w:val="04A0" w:firstRow="1" w:lastRow="0" w:firstColumn="1" w:lastColumn="0" w:noHBand="0" w:noVBand="1"/>
      </w:tblPr>
      <w:tblGrid>
        <w:gridCol w:w="9062"/>
      </w:tblGrid>
      <w:tr w:rsidR="00E03B2E" w:rsidRPr="004D3D70" w:rsidTr="00CA27CF">
        <w:tc>
          <w:tcPr>
            <w:tcW w:w="9062" w:type="dxa"/>
            <w:shd w:val="clear" w:color="auto" w:fill="BFBFBF" w:themeFill="background1" w:themeFillShade="BF"/>
          </w:tcPr>
          <w:p w:rsidR="00E03B2E" w:rsidRPr="004D3D70" w:rsidRDefault="00E03B2E" w:rsidP="00CA27CF">
            <w:pPr>
              <w:rPr>
                <w:rFonts w:eastAsia="Times New Roman" w:cstheme="minorHAnsi"/>
                <w:color w:val="2F2F2F"/>
                <w:sz w:val="20"/>
                <w:szCs w:val="20"/>
                <w:lang w:eastAsia="fr-FR"/>
              </w:rPr>
            </w:pPr>
            <w:r w:rsidRPr="004D3D70">
              <w:rPr>
                <w:rFonts w:eastAsia="Times New Roman" w:cstheme="minorHAnsi"/>
                <w:b/>
                <w:bCs/>
                <w:color w:val="2F2F2F"/>
                <w:sz w:val="20"/>
                <w:szCs w:val="20"/>
                <w:lang w:eastAsia="fr-FR"/>
              </w:rPr>
              <w:t>À ne pas faire :</w:t>
            </w:r>
          </w:p>
          <w:p w:rsidR="00E03B2E" w:rsidRPr="004D3D70" w:rsidRDefault="00E03B2E" w:rsidP="00CA27CF">
            <w:pPr>
              <w:spacing w:before="225" w:after="225"/>
              <w:rPr>
                <w:rFonts w:eastAsia="Times New Roman" w:cstheme="minorHAnsi"/>
                <w:color w:val="2F2F2F"/>
                <w:sz w:val="20"/>
                <w:szCs w:val="20"/>
                <w:lang w:eastAsia="fr-FR"/>
              </w:rPr>
            </w:pPr>
            <w:r w:rsidRPr="004D3D70">
              <w:rPr>
                <w:rFonts w:eastAsia="Times New Roman" w:cstheme="minorHAnsi"/>
                <w:color w:val="2F2F2F"/>
                <w:sz w:val="20"/>
                <w:szCs w:val="20"/>
                <w:lang w:eastAsia="fr-FR"/>
              </w:rPr>
              <w:t>Si le système d’information de l’établissement est hébergé en mode SaaS chez un fournisseur, il ne faut pas copier/coller la liste des outils fournis par l’hébergeur sans préciser leurs fonctions, ni le paramétrage et la configuration spécifiques à l’établissement.</w:t>
            </w:r>
          </w:p>
          <w:p w:rsidR="00E03B2E" w:rsidRPr="004D3D70" w:rsidRDefault="00E03B2E" w:rsidP="00CA27CF">
            <w:pPr>
              <w:spacing w:before="225" w:after="225"/>
              <w:rPr>
                <w:rFonts w:eastAsia="Times New Roman" w:cstheme="minorHAnsi"/>
                <w:color w:val="2F2F2F"/>
                <w:sz w:val="20"/>
                <w:szCs w:val="20"/>
                <w:lang w:eastAsia="fr-FR"/>
              </w:rPr>
            </w:pPr>
            <w:r w:rsidRPr="004D3D70">
              <w:rPr>
                <w:rFonts w:eastAsia="Times New Roman" w:cstheme="minorHAnsi"/>
                <w:color w:val="2F2F2F"/>
                <w:sz w:val="20"/>
                <w:szCs w:val="20"/>
                <w:lang w:eastAsia="fr-FR"/>
              </w:rPr>
              <w:t>Il ne faut pas indiquer dans le dossier des noms de documents de référence (en annexes) qui diffèrent de la nomenclature des annexes réellement fournies.</w:t>
            </w:r>
          </w:p>
          <w:p w:rsidR="00E03B2E" w:rsidRPr="004D3D70" w:rsidRDefault="00E03B2E" w:rsidP="00CA27CF">
            <w:pPr>
              <w:rPr>
                <w:rFonts w:cstheme="minorHAnsi"/>
                <w:sz w:val="20"/>
                <w:szCs w:val="20"/>
              </w:rPr>
            </w:pPr>
            <w:r w:rsidRPr="004D3D70">
              <w:rPr>
                <w:rFonts w:eastAsia="Times New Roman" w:cstheme="minorHAnsi"/>
                <w:color w:val="2F2F2F"/>
                <w:sz w:val="20"/>
                <w:szCs w:val="20"/>
                <w:lang w:eastAsia="fr-FR"/>
              </w:rPr>
              <w:t>Il ne faut pas mettre en annexe des documents sans avoir vérifié leurs contenus, ainsi que l’adéquation de ce dernier avec les informations demandées dans le dossier.</w:t>
            </w:r>
          </w:p>
          <w:p w:rsidR="00E03B2E" w:rsidRPr="004D3D70" w:rsidRDefault="00E03B2E" w:rsidP="00CA27CF">
            <w:pPr>
              <w:rPr>
                <w:rFonts w:cstheme="minorHAnsi"/>
                <w:sz w:val="20"/>
                <w:szCs w:val="20"/>
              </w:rPr>
            </w:pPr>
          </w:p>
        </w:tc>
      </w:tr>
    </w:tbl>
    <w:p w:rsidR="008A0D9B" w:rsidRPr="004D3D70" w:rsidRDefault="008A0D9B" w:rsidP="008A0D9B">
      <w:pPr>
        <w:shd w:val="clear" w:color="auto" w:fill="FFFFFF"/>
        <w:spacing w:before="225" w:after="225" w:line="240" w:lineRule="auto"/>
        <w:outlineLvl w:val="3"/>
        <w:rPr>
          <w:rFonts w:eastAsia="Times New Roman" w:cstheme="minorHAnsi"/>
          <w:b/>
          <w:bCs/>
          <w:color w:val="003B7D"/>
          <w:sz w:val="20"/>
          <w:szCs w:val="20"/>
          <w:lang w:eastAsia="fr-FR"/>
        </w:rPr>
      </w:pPr>
      <w:r w:rsidRPr="004D3D70">
        <w:rPr>
          <w:rFonts w:eastAsia="Times New Roman" w:cstheme="minorHAnsi"/>
          <w:b/>
          <w:bCs/>
          <w:color w:val="003B7D"/>
          <w:sz w:val="20"/>
          <w:szCs w:val="20"/>
          <w:lang w:eastAsia="fr-FR"/>
        </w:rPr>
        <w:t>4. Mesurer l’efficacité des dispositifs de prévention et de lutte contre la fraude</w:t>
      </w:r>
    </w:p>
    <w:p w:rsidR="00E03B2E" w:rsidRDefault="008A0D9B" w:rsidP="00E03B2E">
      <w:pPr>
        <w:shd w:val="clear" w:color="auto" w:fill="FFFFFF"/>
        <w:spacing w:before="225" w:after="225" w:line="240" w:lineRule="auto"/>
        <w:rPr>
          <w:rFonts w:eastAsia="Times New Roman" w:cstheme="minorHAnsi"/>
          <w:color w:val="2F2F2F"/>
          <w:sz w:val="20"/>
          <w:szCs w:val="20"/>
          <w:lang w:eastAsia="fr-FR"/>
        </w:rPr>
      </w:pPr>
      <w:r w:rsidRPr="004D3D70">
        <w:rPr>
          <w:rFonts w:eastAsia="Times New Roman" w:cstheme="minorHAnsi"/>
          <w:color w:val="2F2F2F"/>
          <w:sz w:val="20"/>
          <w:szCs w:val="20"/>
          <w:lang w:eastAsia="fr-FR"/>
        </w:rPr>
        <w:t>La BDF s’assure de l’efficacité des dispositifs de prévention et de lutte contre la fraude, en vérifiant notamment les procédures suivantes :</w:t>
      </w:r>
    </w:p>
    <w:p w:rsidR="00E03B2E" w:rsidRDefault="008A0D9B" w:rsidP="00E03B2E">
      <w:pPr>
        <w:pStyle w:val="Paragraphedeliste"/>
        <w:numPr>
          <w:ilvl w:val="0"/>
          <w:numId w:val="4"/>
        </w:numPr>
        <w:shd w:val="clear" w:color="auto" w:fill="FFFFFF"/>
        <w:spacing w:before="225" w:after="225" w:line="240" w:lineRule="auto"/>
        <w:rPr>
          <w:rFonts w:eastAsia="Times New Roman" w:cstheme="minorHAnsi"/>
          <w:color w:val="2F2F2F"/>
          <w:sz w:val="20"/>
          <w:szCs w:val="20"/>
          <w:lang w:eastAsia="fr-FR"/>
        </w:rPr>
      </w:pPr>
      <w:r w:rsidRPr="00E03B2E">
        <w:rPr>
          <w:rFonts w:eastAsia="Times New Roman" w:cstheme="minorHAnsi"/>
          <w:color w:val="2F2F2F"/>
          <w:sz w:val="20"/>
          <w:szCs w:val="20"/>
          <w:lang w:eastAsia="fr-FR"/>
        </w:rPr>
        <w:t>Enrôlement des clients, de leurs équipements, authentification forte du payeur ;</w:t>
      </w:r>
    </w:p>
    <w:p w:rsidR="00E03B2E" w:rsidRDefault="008A0D9B" w:rsidP="00E03B2E">
      <w:pPr>
        <w:pStyle w:val="Paragraphedeliste"/>
        <w:numPr>
          <w:ilvl w:val="0"/>
          <w:numId w:val="4"/>
        </w:numPr>
        <w:shd w:val="clear" w:color="auto" w:fill="FFFFFF"/>
        <w:spacing w:before="225" w:after="225" w:line="240" w:lineRule="auto"/>
        <w:rPr>
          <w:rFonts w:eastAsia="Times New Roman" w:cstheme="minorHAnsi"/>
          <w:color w:val="2F2F2F"/>
          <w:sz w:val="20"/>
          <w:szCs w:val="20"/>
          <w:lang w:eastAsia="fr-FR"/>
        </w:rPr>
      </w:pPr>
      <w:r w:rsidRPr="00E03B2E">
        <w:rPr>
          <w:rFonts w:eastAsia="Times New Roman" w:cstheme="minorHAnsi"/>
          <w:color w:val="2F2F2F"/>
          <w:sz w:val="20"/>
          <w:szCs w:val="20"/>
          <w:lang w:eastAsia="fr-FR"/>
        </w:rPr>
        <w:t>Surveillance des opérations, identification des opérations à risque et mesures complémentaires ;</w:t>
      </w:r>
    </w:p>
    <w:p w:rsidR="00E03B2E" w:rsidRPr="00E03B2E" w:rsidRDefault="008A0D9B" w:rsidP="00E03B2E">
      <w:pPr>
        <w:pStyle w:val="Paragraphedeliste"/>
        <w:numPr>
          <w:ilvl w:val="0"/>
          <w:numId w:val="4"/>
        </w:numPr>
        <w:shd w:val="clear" w:color="auto" w:fill="FFFFFF"/>
        <w:spacing w:before="225" w:after="225" w:line="240" w:lineRule="auto"/>
        <w:rPr>
          <w:rFonts w:eastAsia="Times New Roman" w:cstheme="minorHAnsi"/>
          <w:color w:val="2F2F2F"/>
          <w:sz w:val="20"/>
          <w:szCs w:val="20"/>
          <w:lang w:eastAsia="fr-FR"/>
        </w:rPr>
      </w:pPr>
      <w:r w:rsidRPr="00E03B2E">
        <w:rPr>
          <w:rFonts w:eastAsia="Times New Roman" w:cstheme="minorHAnsi"/>
          <w:color w:val="2F2F2F"/>
          <w:sz w:val="20"/>
          <w:szCs w:val="20"/>
          <w:lang w:eastAsia="fr-FR"/>
        </w:rPr>
        <w:t>Action de sensibilisation auprès des utilisateurs et formation des équipes.</w:t>
      </w:r>
      <w:r w:rsidR="00E03B2E" w:rsidRPr="00E03B2E">
        <w:rPr>
          <w:rFonts w:eastAsia="Times New Roman" w:cstheme="minorHAnsi"/>
          <w:color w:val="2F2F2F"/>
          <w:sz w:val="20"/>
          <w:szCs w:val="20"/>
          <w:lang w:eastAsia="fr-FR"/>
        </w:rPr>
        <w:t xml:space="preserve"> </w:t>
      </w:r>
    </w:p>
    <w:tbl>
      <w:tblPr>
        <w:tblStyle w:val="Grilledutableau"/>
        <w:tblW w:w="0" w:type="auto"/>
        <w:shd w:val="clear" w:color="auto" w:fill="BDD6EE" w:themeFill="accent1" w:themeFillTint="66"/>
        <w:tblLook w:val="04A0" w:firstRow="1" w:lastRow="0" w:firstColumn="1" w:lastColumn="0" w:noHBand="0" w:noVBand="1"/>
      </w:tblPr>
      <w:tblGrid>
        <w:gridCol w:w="9062"/>
      </w:tblGrid>
      <w:tr w:rsidR="00E03B2E" w:rsidTr="00CA27CF">
        <w:tc>
          <w:tcPr>
            <w:tcW w:w="9062" w:type="dxa"/>
            <w:shd w:val="clear" w:color="auto" w:fill="BDD6EE" w:themeFill="accent1" w:themeFillTint="66"/>
          </w:tcPr>
          <w:p w:rsidR="00E03B2E" w:rsidRDefault="00E03B2E" w:rsidP="00CA27CF">
            <w:pPr>
              <w:rPr>
                <w:rFonts w:cstheme="minorHAnsi"/>
                <w:sz w:val="20"/>
                <w:szCs w:val="20"/>
              </w:rPr>
            </w:pPr>
            <w:r w:rsidRPr="00E03B2E">
              <w:rPr>
                <w:rFonts w:cstheme="minorHAnsi"/>
                <w:b/>
                <w:sz w:val="20"/>
                <w:szCs w:val="20"/>
              </w:rPr>
              <w:t>Une authentification forte</w:t>
            </w:r>
            <w:r w:rsidRPr="004D3D70">
              <w:rPr>
                <w:rFonts w:cstheme="minorHAnsi"/>
                <w:sz w:val="20"/>
                <w:szCs w:val="20"/>
              </w:rPr>
              <w:t xml:space="preserve"> est requise lors du 1</w:t>
            </w:r>
            <w:r w:rsidRPr="004D3D70">
              <w:rPr>
                <w:rFonts w:cstheme="minorHAnsi"/>
                <w:sz w:val="20"/>
                <w:szCs w:val="20"/>
                <w:vertAlign w:val="superscript"/>
              </w:rPr>
              <w:t>er</w:t>
            </w:r>
            <w:r w:rsidRPr="004D3D70">
              <w:rPr>
                <w:rFonts w:cstheme="minorHAnsi"/>
                <w:sz w:val="20"/>
                <w:szCs w:val="20"/>
              </w:rPr>
              <w:t xml:space="preserve"> accès au compte de paiement (exemple : suivi d’opération pour des marchands) et tous les 90 jours</w:t>
            </w:r>
            <w:r>
              <w:rPr>
                <w:rFonts w:cstheme="minorHAnsi"/>
                <w:sz w:val="20"/>
                <w:szCs w:val="20"/>
              </w:rPr>
              <w:t>, ainsi que pour toutes les opérations de paiement électroniques et les opérations sensibles périphériques</w:t>
            </w:r>
            <w:r w:rsidRPr="004D3D70">
              <w:rPr>
                <w:rFonts w:cstheme="minorHAnsi"/>
                <w:sz w:val="20"/>
                <w:szCs w:val="20"/>
              </w:rPr>
              <w:t xml:space="preserve">. </w:t>
            </w:r>
          </w:p>
          <w:p w:rsidR="00E03B2E" w:rsidRDefault="00E03B2E" w:rsidP="00CA27CF">
            <w:pPr>
              <w:rPr>
                <w:rFonts w:cstheme="minorHAnsi"/>
                <w:sz w:val="20"/>
                <w:szCs w:val="20"/>
              </w:rPr>
            </w:pPr>
          </w:p>
          <w:p w:rsidR="00E03B2E" w:rsidRPr="004D3D70" w:rsidRDefault="00E03B2E" w:rsidP="00CA27CF">
            <w:pPr>
              <w:rPr>
                <w:rFonts w:cstheme="minorHAnsi"/>
                <w:sz w:val="20"/>
                <w:szCs w:val="20"/>
              </w:rPr>
            </w:pPr>
            <w:r w:rsidRPr="004D3D70">
              <w:rPr>
                <w:rFonts w:cstheme="minorHAnsi"/>
                <w:sz w:val="20"/>
                <w:szCs w:val="20"/>
              </w:rPr>
              <w:t>L’établissement doit s’assurer d’avoir un dispositif d’authentification forte conforme à la DSP2. Ce qui implique que :</w:t>
            </w:r>
          </w:p>
          <w:p w:rsidR="00E03B2E" w:rsidRPr="004D3D70" w:rsidRDefault="00E03B2E" w:rsidP="00CA27CF">
            <w:pPr>
              <w:pStyle w:val="Paragraphedeliste"/>
              <w:numPr>
                <w:ilvl w:val="0"/>
                <w:numId w:val="4"/>
              </w:numPr>
              <w:rPr>
                <w:rFonts w:cstheme="minorHAnsi"/>
                <w:sz w:val="20"/>
                <w:szCs w:val="20"/>
              </w:rPr>
            </w:pPr>
            <w:r w:rsidRPr="004D3D70">
              <w:rPr>
                <w:rFonts w:cstheme="minorHAnsi"/>
                <w:sz w:val="20"/>
                <w:szCs w:val="20"/>
              </w:rPr>
              <w:t>L’établissement maitrise complètement la solution utilisée ;</w:t>
            </w:r>
          </w:p>
          <w:p w:rsidR="00E03B2E" w:rsidRDefault="00E03B2E" w:rsidP="00CA27CF">
            <w:pPr>
              <w:pStyle w:val="Paragraphedeliste"/>
              <w:numPr>
                <w:ilvl w:val="0"/>
                <w:numId w:val="4"/>
              </w:numPr>
              <w:rPr>
                <w:rFonts w:cstheme="minorHAnsi"/>
                <w:sz w:val="20"/>
                <w:szCs w:val="20"/>
              </w:rPr>
            </w:pPr>
            <w:r w:rsidRPr="004D3D70">
              <w:rPr>
                <w:rFonts w:cstheme="minorHAnsi"/>
                <w:sz w:val="20"/>
                <w:szCs w:val="20"/>
              </w:rPr>
              <w:t>Ou alors qu’il déclare le prestataire tiers en charge de cette activité, pour son compte, comme PSEE. Le contrat avec ce prestataire doit être conforme aux exigences de l’EBA relatives au suivi des PSEE.</w:t>
            </w:r>
          </w:p>
          <w:p w:rsidR="00E03B2E" w:rsidRDefault="00E03B2E" w:rsidP="00CA27CF">
            <w:pPr>
              <w:ind w:left="360"/>
              <w:rPr>
                <w:rFonts w:cstheme="minorHAnsi"/>
                <w:sz w:val="20"/>
                <w:szCs w:val="20"/>
              </w:rPr>
            </w:pPr>
          </w:p>
          <w:p w:rsidR="00E03B2E" w:rsidRPr="004E4858" w:rsidRDefault="00E03B2E" w:rsidP="00CA27CF">
            <w:pPr>
              <w:rPr>
                <w:rFonts w:cstheme="minorHAnsi"/>
                <w:b/>
                <w:sz w:val="20"/>
                <w:szCs w:val="20"/>
              </w:rPr>
            </w:pPr>
            <w:r w:rsidRPr="004E4858">
              <w:rPr>
                <w:rFonts w:cstheme="minorHAnsi"/>
                <w:b/>
                <w:sz w:val="20"/>
                <w:szCs w:val="20"/>
              </w:rPr>
              <w:t xml:space="preserve">Les documents attendus sont : </w:t>
            </w:r>
          </w:p>
          <w:p w:rsidR="00E03B2E" w:rsidRPr="00E03B2E" w:rsidRDefault="00E03B2E" w:rsidP="00CA27CF">
            <w:pPr>
              <w:pStyle w:val="Paragraphedeliste"/>
              <w:numPr>
                <w:ilvl w:val="0"/>
                <w:numId w:val="4"/>
              </w:numPr>
              <w:rPr>
                <w:rFonts w:cstheme="minorHAnsi"/>
                <w:sz w:val="20"/>
                <w:szCs w:val="20"/>
              </w:rPr>
            </w:pPr>
            <w:r>
              <w:rPr>
                <w:rFonts w:cstheme="minorHAnsi"/>
                <w:sz w:val="20"/>
                <w:szCs w:val="20"/>
              </w:rPr>
              <w:t>Description précise de la solution forte retenue et de la procédure d’enrôlement dans cette solution d’authentification forte, étant noté que la réglementation exige une authentification forte pour l’association de l’utilisateur à une solution d’authentification forte</w:t>
            </w:r>
          </w:p>
          <w:p w:rsidR="00E03B2E" w:rsidRDefault="00E03B2E" w:rsidP="00CA27CF">
            <w:pPr>
              <w:pStyle w:val="Paragraphedeliste"/>
              <w:numPr>
                <w:ilvl w:val="0"/>
                <w:numId w:val="4"/>
              </w:numPr>
              <w:rPr>
                <w:rFonts w:cstheme="minorHAnsi"/>
                <w:sz w:val="20"/>
                <w:szCs w:val="20"/>
              </w:rPr>
            </w:pPr>
            <w:r w:rsidRPr="004D3D70">
              <w:rPr>
                <w:rFonts w:cstheme="minorHAnsi"/>
                <w:sz w:val="20"/>
                <w:szCs w:val="20"/>
              </w:rPr>
              <w:t>Contrat avec le prestataire en charge de la solut</w:t>
            </w:r>
            <w:r>
              <w:rPr>
                <w:rFonts w:cstheme="minorHAnsi"/>
                <w:sz w:val="20"/>
                <w:szCs w:val="20"/>
              </w:rPr>
              <w:t>ion de l’authentification forte</w:t>
            </w:r>
          </w:p>
          <w:p w:rsidR="00E03B2E" w:rsidRPr="00E03B2E" w:rsidRDefault="00E03B2E" w:rsidP="00CA27CF">
            <w:pPr>
              <w:pStyle w:val="Paragraphedeliste"/>
              <w:numPr>
                <w:ilvl w:val="0"/>
                <w:numId w:val="4"/>
              </w:numPr>
              <w:rPr>
                <w:rFonts w:cstheme="minorHAnsi"/>
                <w:sz w:val="20"/>
                <w:szCs w:val="20"/>
              </w:rPr>
            </w:pPr>
            <w:r>
              <w:rPr>
                <w:rFonts w:cstheme="minorHAnsi"/>
                <w:sz w:val="20"/>
                <w:szCs w:val="20"/>
              </w:rPr>
              <w:t>Procédures précisant les situations où l’authentification forte de l’utilisateur sera requise, notamment la liste des opérations que l’établissement qualifiera comme sensible (changement des coordonnées, enregistrement d’un nouveau bénéficiaire de confiance, enregistrement de la carte dans un espace marchand…)</w:t>
            </w:r>
          </w:p>
        </w:tc>
      </w:tr>
    </w:tbl>
    <w:p w:rsidR="00E03B2E" w:rsidRDefault="00E03B2E">
      <w:pPr>
        <w:rPr>
          <w:rFonts w:cstheme="minorHAnsi"/>
          <w:sz w:val="20"/>
          <w:szCs w:val="20"/>
        </w:rPr>
      </w:pPr>
    </w:p>
    <w:tbl>
      <w:tblPr>
        <w:tblStyle w:val="Grilledutableau"/>
        <w:tblW w:w="0" w:type="auto"/>
        <w:shd w:val="clear" w:color="auto" w:fill="BDD6EE" w:themeFill="accent1" w:themeFillTint="66"/>
        <w:tblLook w:val="04A0" w:firstRow="1" w:lastRow="0" w:firstColumn="1" w:lastColumn="0" w:noHBand="0" w:noVBand="1"/>
      </w:tblPr>
      <w:tblGrid>
        <w:gridCol w:w="9062"/>
      </w:tblGrid>
      <w:tr w:rsidR="00E03B2E" w:rsidTr="00E03B2E">
        <w:tc>
          <w:tcPr>
            <w:tcW w:w="9062" w:type="dxa"/>
            <w:shd w:val="clear" w:color="auto" w:fill="BDD6EE" w:themeFill="accent1" w:themeFillTint="66"/>
          </w:tcPr>
          <w:p w:rsidR="00E03B2E" w:rsidRPr="004D3D70" w:rsidRDefault="00E03B2E" w:rsidP="00E03B2E">
            <w:pPr>
              <w:rPr>
                <w:rFonts w:cstheme="minorHAnsi"/>
                <w:b/>
                <w:sz w:val="20"/>
                <w:szCs w:val="20"/>
              </w:rPr>
            </w:pPr>
            <w:r w:rsidRPr="004D3D70">
              <w:rPr>
                <w:rFonts w:cstheme="minorHAnsi"/>
                <w:b/>
                <w:sz w:val="20"/>
                <w:szCs w:val="20"/>
              </w:rPr>
              <w:t>Sécurité des virements sortants et des prélèvements</w:t>
            </w:r>
          </w:p>
          <w:p w:rsidR="00E03B2E" w:rsidRDefault="002E4DCC" w:rsidP="00E03B2E">
            <w:pPr>
              <w:rPr>
                <w:rFonts w:cstheme="minorHAnsi"/>
                <w:sz w:val="20"/>
                <w:szCs w:val="20"/>
              </w:rPr>
            </w:pPr>
            <w:r>
              <w:rPr>
                <w:rFonts w:cstheme="minorHAnsi"/>
                <w:sz w:val="20"/>
                <w:szCs w:val="20"/>
              </w:rPr>
              <w:t>Pour les prestations d’encaissement pour compte de tiers, l</w:t>
            </w:r>
            <w:r w:rsidR="00E03B2E" w:rsidRPr="004D3D70">
              <w:rPr>
                <w:rFonts w:cstheme="minorHAnsi"/>
                <w:sz w:val="20"/>
                <w:szCs w:val="20"/>
              </w:rPr>
              <w:t>’établissement doit décrire l’interface bancaire permettant de réaliser les virements sortants</w:t>
            </w:r>
            <w:r>
              <w:rPr>
                <w:rFonts w:cstheme="minorHAnsi"/>
                <w:sz w:val="20"/>
                <w:szCs w:val="20"/>
              </w:rPr>
              <w:t xml:space="preserve"> pour le compte de ses clients, lorsque les fonds acquis par le PSP sont virés sur un compte bancaire externe</w:t>
            </w:r>
            <w:r w:rsidR="00E03B2E" w:rsidRPr="004D3D70">
              <w:rPr>
                <w:rFonts w:cstheme="minorHAnsi"/>
                <w:sz w:val="20"/>
                <w:szCs w:val="20"/>
              </w:rPr>
              <w:t xml:space="preserve">. </w:t>
            </w:r>
          </w:p>
          <w:p w:rsidR="00E03B2E" w:rsidRDefault="00E03B2E" w:rsidP="00E03B2E">
            <w:pPr>
              <w:rPr>
                <w:rFonts w:cstheme="minorHAnsi"/>
                <w:sz w:val="20"/>
                <w:szCs w:val="20"/>
              </w:rPr>
            </w:pPr>
          </w:p>
          <w:p w:rsidR="00E03B2E" w:rsidRPr="004D3D70" w:rsidRDefault="00E03B2E" w:rsidP="00E03B2E">
            <w:pPr>
              <w:rPr>
                <w:rFonts w:cstheme="minorHAnsi"/>
                <w:sz w:val="20"/>
                <w:szCs w:val="20"/>
              </w:rPr>
            </w:pPr>
            <w:r w:rsidRPr="004D3D70">
              <w:rPr>
                <w:rFonts w:cstheme="minorHAnsi"/>
                <w:sz w:val="20"/>
                <w:szCs w:val="20"/>
              </w:rPr>
              <w:t>L’établissement doit:</w:t>
            </w:r>
          </w:p>
          <w:p w:rsidR="002E4DCC" w:rsidRDefault="00E03B2E" w:rsidP="00F65822">
            <w:pPr>
              <w:pStyle w:val="Paragraphedeliste"/>
              <w:numPr>
                <w:ilvl w:val="0"/>
                <w:numId w:val="4"/>
              </w:numPr>
              <w:rPr>
                <w:rFonts w:cstheme="minorHAnsi"/>
                <w:sz w:val="20"/>
                <w:szCs w:val="20"/>
              </w:rPr>
            </w:pPr>
            <w:r w:rsidRPr="002E4DCC">
              <w:rPr>
                <w:rFonts w:cstheme="minorHAnsi"/>
                <w:sz w:val="20"/>
                <w:szCs w:val="20"/>
              </w:rPr>
              <w:t>Décrire l’accès à cette interface, le nombre de personnes habilitées, le mode de connexion</w:t>
            </w:r>
            <w:r w:rsidR="002E4DCC" w:rsidRPr="002E4DCC">
              <w:rPr>
                <w:rFonts w:cstheme="minorHAnsi"/>
                <w:sz w:val="20"/>
                <w:szCs w:val="20"/>
              </w:rPr>
              <w:t xml:space="preserve"> et les procédures d’authentification associées</w:t>
            </w:r>
            <w:r w:rsidRPr="002E4DCC">
              <w:rPr>
                <w:rFonts w:cstheme="minorHAnsi"/>
                <w:sz w:val="20"/>
                <w:szCs w:val="20"/>
              </w:rPr>
              <w:t xml:space="preserve"> </w:t>
            </w:r>
          </w:p>
          <w:p w:rsidR="00E03B2E" w:rsidRDefault="00E03B2E" w:rsidP="00F65822">
            <w:pPr>
              <w:pStyle w:val="Paragraphedeliste"/>
              <w:numPr>
                <w:ilvl w:val="0"/>
                <w:numId w:val="4"/>
              </w:numPr>
              <w:rPr>
                <w:rFonts w:cstheme="minorHAnsi"/>
                <w:sz w:val="20"/>
                <w:szCs w:val="20"/>
              </w:rPr>
            </w:pPr>
            <w:r w:rsidRPr="002E4DCC">
              <w:rPr>
                <w:rFonts w:cstheme="minorHAnsi"/>
                <w:sz w:val="20"/>
                <w:szCs w:val="20"/>
              </w:rPr>
              <w:t>Décrire les mécanismes de doubles contrôles en place</w:t>
            </w:r>
            <w:r w:rsidR="002E4DCC">
              <w:rPr>
                <w:rFonts w:cstheme="minorHAnsi"/>
                <w:sz w:val="20"/>
                <w:szCs w:val="20"/>
              </w:rPr>
              <w:t xml:space="preserve"> </w:t>
            </w:r>
            <w:r w:rsidR="002E4DCC" w:rsidRPr="002E4DCC">
              <w:rPr>
                <w:rFonts w:cstheme="minorHAnsi"/>
                <w:sz w:val="20"/>
                <w:szCs w:val="20"/>
              </w:rPr>
              <w:t>(exemple : contrôle quatre yeux)</w:t>
            </w:r>
            <w:r w:rsidRPr="002E4DCC">
              <w:rPr>
                <w:rFonts w:cstheme="minorHAnsi"/>
                <w:sz w:val="20"/>
                <w:szCs w:val="20"/>
              </w:rPr>
              <w:t>.</w:t>
            </w:r>
          </w:p>
          <w:p w:rsidR="002E4DCC" w:rsidRPr="002E4DCC" w:rsidRDefault="002E4DCC" w:rsidP="00F65822">
            <w:pPr>
              <w:pStyle w:val="Paragraphedeliste"/>
              <w:numPr>
                <w:ilvl w:val="0"/>
                <w:numId w:val="4"/>
              </w:numPr>
              <w:rPr>
                <w:rFonts w:cstheme="minorHAnsi"/>
                <w:sz w:val="20"/>
                <w:szCs w:val="20"/>
              </w:rPr>
            </w:pPr>
            <w:r>
              <w:rPr>
                <w:rFonts w:cstheme="minorHAnsi"/>
                <w:sz w:val="20"/>
                <w:szCs w:val="20"/>
              </w:rPr>
              <w:t xml:space="preserve">Indiquer les mesures prises pour vérifier la légitimité des demandes de changement d’IBAN reçues (ex : contre-appel téléphonique, authentification forte du demandeur etc.) </w:t>
            </w:r>
          </w:p>
          <w:p w:rsidR="00E03B2E" w:rsidRDefault="00E03B2E" w:rsidP="00E03B2E">
            <w:pPr>
              <w:pStyle w:val="Paragraphedeliste"/>
              <w:rPr>
                <w:rFonts w:cstheme="minorHAnsi"/>
                <w:sz w:val="20"/>
                <w:szCs w:val="20"/>
              </w:rPr>
            </w:pPr>
          </w:p>
        </w:tc>
      </w:tr>
    </w:tbl>
    <w:p w:rsidR="00E03B2E" w:rsidRDefault="00E03B2E">
      <w:pPr>
        <w:rPr>
          <w:rFonts w:cstheme="minorHAnsi"/>
          <w:sz w:val="20"/>
          <w:szCs w:val="20"/>
        </w:rPr>
      </w:pPr>
    </w:p>
    <w:tbl>
      <w:tblPr>
        <w:tblStyle w:val="Grilledutableau"/>
        <w:tblW w:w="0" w:type="auto"/>
        <w:shd w:val="clear" w:color="auto" w:fill="BDD6EE" w:themeFill="accent1" w:themeFillTint="66"/>
        <w:tblLook w:val="04A0" w:firstRow="1" w:lastRow="0" w:firstColumn="1" w:lastColumn="0" w:noHBand="0" w:noVBand="1"/>
      </w:tblPr>
      <w:tblGrid>
        <w:gridCol w:w="9062"/>
      </w:tblGrid>
      <w:tr w:rsidR="00E03B2E" w:rsidTr="00E03B2E">
        <w:tc>
          <w:tcPr>
            <w:tcW w:w="9062" w:type="dxa"/>
            <w:shd w:val="clear" w:color="auto" w:fill="BDD6EE" w:themeFill="accent1" w:themeFillTint="66"/>
          </w:tcPr>
          <w:p w:rsidR="00E03B2E" w:rsidRPr="004D3D70" w:rsidRDefault="00E03B2E" w:rsidP="00E03B2E">
            <w:pPr>
              <w:rPr>
                <w:rFonts w:cstheme="minorHAnsi"/>
                <w:b/>
                <w:sz w:val="20"/>
                <w:szCs w:val="20"/>
              </w:rPr>
            </w:pPr>
            <w:r w:rsidRPr="004D3D70">
              <w:rPr>
                <w:rFonts w:cstheme="minorHAnsi"/>
                <w:b/>
                <w:sz w:val="20"/>
                <w:szCs w:val="20"/>
              </w:rPr>
              <w:t>Émission</w:t>
            </w:r>
            <w:r w:rsidR="002E4DCC">
              <w:rPr>
                <w:rFonts w:cstheme="minorHAnsi"/>
                <w:b/>
                <w:sz w:val="20"/>
                <w:szCs w:val="20"/>
              </w:rPr>
              <w:t xml:space="preserve">/acquisition </w:t>
            </w:r>
            <w:r w:rsidRPr="004D3D70">
              <w:rPr>
                <w:rFonts w:cstheme="minorHAnsi"/>
                <w:b/>
                <w:sz w:val="20"/>
                <w:szCs w:val="20"/>
              </w:rPr>
              <w:t>de carte</w:t>
            </w:r>
          </w:p>
          <w:p w:rsidR="002E4DCC" w:rsidRDefault="00E03B2E" w:rsidP="002E4DCC">
            <w:pPr>
              <w:jc w:val="both"/>
              <w:rPr>
                <w:rFonts w:cstheme="minorHAnsi"/>
                <w:sz w:val="20"/>
                <w:szCs w:val="20"/>
              </w:rPr>
            </w:pPr>
            <w:r>
              <w:rPr>
                <w:rFonts w:cstheme="minorHAnsi"/>
                <w:sz w:val="20"/>
                <w:szCs w:val="20"/>
              </w:rPr>
              <w:t>Si l’établissement est émetteur de carte, l</w:t>
            </w:r>
            <w:r w:rsidRPr="004D3D70">
              <w:rPr>
                <w:rFonts w:cstheme="minorHAnsi"/>
                <w:sz w:val="20"/>
                <w:szCs w:val="20"/>
              </w:rPr>
              <w:t>’établissement doit décrire le processus de fabrication des cartes physiques</w:t>
            </w:r>
            <w:r w:rsidR="002E4DCC">
              <w:rPr>
                <w:rFonts w:cstheme="minorHAnsi"/>
                <w:sz w:val="20"/>
                <w:szCs w:val="20"/>
              </w:rPr>
              <w:t xml:space="preserve"> ou d’émission des cartes virtuelles, les sécurités intégrées et les mesures prises pour assurer la sécurité de son acheminement et des données de sécurité (code PIN etc.). </w:t>
            </w:r>
          </w:p>
          <w:p w:rsidR="002E4DCC" w:rsidRDefault="002E4DCC" w:rsidP="002E4DCC">
            <w:pPr>
              <w:jc w:val="both"/>
              <w:rPr>
                <w:rFonts w:cstheme="minorHAnsi"/>
                <w:sz w:val="20"/>
                <w:szCs w:val="20"/>
              </w:rPr>
            </w:pPr>
          </w:p>
          <w:p w:rsidR="002E4DCC" w:rsidRDefault="00E03B2E" w:rsidP="002E4DCC">
            <w:pPr>
              <w:jc w:val="both"/>
              <w:rPr>
                <w:rFonts w:cstheme="minorHAnsi"/>
                <w:sz w:val="20"/>
                <w:szCs w:val="20"/>
              </w:rPr>
            </w:pPr>
            <w:r w:rsidRPr="004D3D70">
              <w:rPr>
                <w:rFonts w:cstheme="minorHAnsi"/>
                <w:sz w:val="20"/>
                <w:szCs w:val="20"/>
              </w:rPr>
              <w:t xml:space="preserve">L’établissement doit décrire le système d’authentification et d’autorisation utilisé pour les paiements </w:t>
            </w:r>
            <w:r w:rsidR="002E4DCC">
              <w:rPr>
                <w:rFonts w:cstheme="minorHAnsi"/>
                <w:sz w:val="20"/>
                <w:szCs w:val="20"/>
              </w:rPr>
              <w:t>pour les cartes émises ou pour les paiements par carte acquis</w:t>
            </w:r>
            <w:r w:rsidRPr="004D3D70">
              <w:rPr>
                <w:rFonts w:cstheme="minorHAnsi"/>
                <w:sz w:val="20"/>
                <w:szCs w:val="20"/>
              </w:rPr>
              <w:t>.</w:t>
            </w:r>
            <w:r w:rsidR="002E4DCC">
              <w:rPr>
                <w:rFonts w:cstheme="minorHAnsi"/>
                <w:sz w:val="20"/>
                <w:szCs w:val="20"/>
              </w:rPr>
              <w:t xml:space="preserve"> Pour les paiements à distance, il doit notamment préciser les mesures prises pour assurer la conformité des transactions aux exigences d’authentification forte de la DSP2 (protocole 3-D Secure, gestion des exemptions etc.). </w:t>
            </w:r>
          </w:p>
          <w:p w:rsidR="002E4DCC" w:rsidRDefault="002E4DCC" w:rsidP="002E4DCC">
            <w:pPr>
              <w:jc w:val="both"/>
              <w:rPr>
                <w:rFonts w:cstheme="minorHAnsi"/>
                <w:sz w:val="20"/>
                <w:szCs w:val="20"/>
              </w:rPr>
            </w:pPr>
          </w:p>
          <w:p w:rsidR="00E03B2E" w:rsidRDefault="00E03B2E" w:rsidP="002E4DCC">
            <w:pPr>
              <w:jc w:val="both"/>
              <w:rPr>
                <w:rFonts w:cstheme="minorHAnsi"/>
                <w:sz w:val="20"/>
                <w:szCs w:val="20"/>
              </w:rPr>
            </w:pPr>
            <w:r>
              <w:rPr>
                <w:rFonts w:cstheme="minorHAnsi"/>
                <w:sz w:val="20"/>
                <w:szCs w:val="20"/>
              </w:rPr>
              <w:t>L’établissement doit également indiquer le système de paiement choisi (VISA, MASTERCARD, CB etc.) et le cas échéant fournir le contrat avec le partenaire qui lui permet de participer à ce système de paiement par carte</w:t>
            </w:r>
            <w:r w:rsidR="002E4DCC">
              <w:rPr>
                <w:rFonts w:cstheme="minorHAnsi"/>
                <w:sz w:val="20"/>
                <w:szCs w:val="20"/>
              </w:rPr>
              <w:t xml:space="preserve"> en tant qu’émetteur ou acquéreur</w:t>
            </w:r>
            <w:r>
              <w:rPr>
                <w:rFonts w:cstheme="minorHAnsi"/>
                <w:sz w:val="20"/>
                <w:szCs w:val="20"/>
              </w:rPr>
              <w:t xml:space="preserve">. </w:t>
            </w:r>
          </w:p>
        </w:tc>
      </w:tr>
    </w:tbl>
    <w:p w:rsidR="00E03B2E" w:rsidRPr="004D3D70" w:rsidRDefault="00E03B2E">
      <w:pPr>
        <w:rPr>
          <w:rFonts w:cstheme="minorHAnsi"/>
          <w:sz w:val="20"/>
          <w:szCs w:val="20"/>
        </w:rPr>
      </w:pPr>
    </w:p>
    <w:p w:rsidR="00C40334" w:rsidRPr="004D3D70" w:rsidRDefault="00C40334" w:rsidP="004D3D70">
      <w:pPr>
        <w:rPr>
          <w:rFonts w:cstheme="minorHAnsi"/>
          <w:sz w:val="20"/>
          <w:szCs w:val="20"/>
        </w:rPr>
      </w:pPr>
    </w:p>
    <w:p w:rsidR="00A52148" w:rsidRPr="004D3D70" w:rsidRDefault="00A52148">
      <w:pPr>
        <w:rPr>
          <w:rFonts w:cstheme="minorHAnsi"/>
          <w:sz w:val="20"/>
          <w:szCs w:val="20"/>
        </w:rPr>
      </w:pPr>
    </w:p>
    <w:sectPr w:rsidR="00A52148" w:rsidRPr="004D3D7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2FA9" w:rsidRDefault="00722FA9" w:rsidP="004E4858">
      <w:pPr>
        <w:spacing w:after="0" w:line="240" w:lineRule="auto"/>
      </w:pPr>
      <w:r>
        <w:separator/>
      </w:r>
    </w:p>
  </w:endnote>
  <w:endnote w:type="continuationSeparator" w:id="0">
    <w:p w:rsidR="00722FA9" w:rsidRDefault="00722FA9" w:rsidP="004E4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858" w:rsidRDefault="004E485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858" w:rsidRPr="004E4858" w:rsidRDefault="004E4858" w:rsidP="004E4858">
    <w:pPr>
      <w:pStyle w:val="En-tte"/>
      <w:jc w:val="both"/>
      <w:rPr>
        <w:color w:val="FF0000"/>
      </w:rPr>
    </w:pPr>
    <w:r w:rsidRPr="004E4858">
      <w:rPr>
        <w:color w:val="FF0000"/>
      </w:rPr>
      <w:t>Attention : cette fiche a une valeur informative et ne limite pas la possibilité pour l’Autorité de Contrôle Prudentiel et de Résolution</w:t>
    </w:r>
    <w:r>
      <w:rPr>
        <w:color w:val="FF0000"/>
      </w:rPr>
      <w:t xml:space="preserve"> </w:t>
    </w:r>
    <w:r w:rsidRPr="004E4858">
      <w:rPr>
        <w:color w:val="FF0000"/>
      </w:rPr>
      <w:t>et la Banque de France de demander d’autres informations ou documents dans le cadre de l’instruction des dossiers</w:t>
    </w:r>
    <w:r>
      <w:rPr>
        <w:color w:val="FF000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858" w:rsidRDefault="004E48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2FA9" w:rsidRDefault="00722FA9" w:rsidP="004E4858">
      <w:pPr>
        <w:spacing w:after="0" w:line="240" w:lineRule="auto"/>
      </w:pPr>
      <w:r>
        <w:separator/>
      </w:r>
    </w:p>
  </w:footnote>
  <w:footnote w:type="continuationSeparator" w:id="0">
    <w:p w:rsidR="00722FA9" w:rsidRDefault="00722FA9" w:rsidP="004E4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858" w:rsidRDefault="00F131F7">
    <w:pPr>
      <w:pStyle w:val="En-tte"/>
    </w:pPr>
    <w:r>
      <w:rPr>
        <w:noProof/>
      </w:rPr>
      <mc:AlternateContent>
        <mc:Choice Requires="wps">
          <w:drawing>
            <wp:anchor distT="0" distB="0" distL="0" distR="0" simplePos="0" relativeHeight="251659264" behindDoc="0" locked="0" layoutInCell="1" allowOverlap="1" wp14:anchorId="4255FE76" wp14:editId="4F602357">
              <wp:simplePos x="635" y="635"/>
              <wp:positionH relativeFrom="page">
                <wp:align>right</wp:align>
              </wp:positionH>
              <wp:positionV relativeFrom="page">
                <wp:align>top</wp:align>
              </wp:positionV>
              <wp:extent cx="1221740" cy="357505"/>
              <wp:effectExtent l="0" t="0" r="0" b="4445"/>
              <wp:wrapNone/>
              <wp:docPr id="1086610534" name="Zone de texte 2" descr="ACP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1740" cy="357505"/>
                      </a:xfrm>
                      <a:prstGeom prst="rect">
                        <a:avLst/>
                      </a:prstGeom>
                      <a:noFill/>
                      <a:ln>
                        <a:noFill/>
                      </a:ln>
                    </wps:spPr>
                    <wps:txbx>
                      <w:txbxContent>
                        <w:p w:rsidR="00F131F7" w:rsidRPr="00F131F7" w:rsidRDefault="00F131F7" w:rsidP="00F131F7">
                          <w:pPr>
                            <w:spacing w:after="0"/>
                            <w:rPr>
                              <w:rFonts w:ascii="Aptos" w:eastAsia="Aptos" w:hAnsi="Aptos" w:cs="Aptos"/>
                              <w:noProof/>
                              <w:color w:val="000000"/>
                              <w:sz w:val="20"/>
                              <w:szCs w:val="20"/>
                            </w:rPr>
                          </w:pPr>
                          <w:r w:rsidRPr="00F131F7">
                            <w:rPr>
                              <w:rFonts w:ascii="Aptos" w:eastAsia="Aptos" w:hAnsi="Aptos" w:cs="Aptos"/>
                              <w:noProof/>
                              <w:color w:val="000000"/>
                              <w:sz w:val="20"/>
                              <w:szCs w:val="20"/>
                            </w:rPr>
                            <w:t>ACPR-RESTREINT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55FE76" id="_x0000_t202" coordsize="21600,21600" o:spt="202" path="m,l,21600r21600,l21600,xe">
              <v:stroke joinstyle="miter"/>
              <v:path gradientshapeok="t" o:connecttype="rect"/>
            </v:shapetype>
            <v:shape id="Zone de texte 2" o:spid="_x0000_s1026" type="#_x0000_t202" alt="ACPR-RESTREINT" style="position:absolute;margin-left:45pt;margin-top:0;width:96.2pt;height:28.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" filled="f" stroked="f">
              <v:fill o:detectmouseclick="t"/>
              <v:textbox style="mso-fit-shape-to-text:t" inset="0,15pt,20pt,0">
                <w:txbxContent>
                  <w:p w:rsidR="00F131F7" w:rsidRPr="00F131F7" w:rsidRDefault="00F131F7" w:rsidP="00F131F7">
                    <w:pPr>
                      <w:spacing w:after="0"/>
                      <w:rPr>
                        <w:rFonts w:ascii="Aptos" w:eastAsia="Aptos" w:hAnsi="Aptos" w:cs="Aptos"/>
                        <w:noProof/>
                        <w:color w:val="000000"/>
                        <w:sz w:val="20"/>
                        <w:szCs w:val="20"/>
                      </w:rPr>
                    </w:pPr>
                    <w:r w:rsidRPr="00F131F7">
                      <w:rPr>
                        <w:rFonts w:ascii="Aptos" w:eastAsia="Aptos" w:hAnsi="Aptos" w:cs="Aptos"/>
                        <w:noProof/>
                        <w:color w:val="000000"/>
                        <w:sz w:val="20"/>
                        <w:szCs w:val="20"/>
                      </w:rPr>
                      <w:t>ACPR-RESTREINT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858" w:rsidRDefault="00F131F7">
    <w:pPr>
      <w:pStyle w:val="En-tte"/>
    </w:pPr>
    <w:r>
      <w:rPr>
        <w:noProof/>
      </w:rPr>
      <mc:AlternateContent>
        <mc:Choice Requires="wps">
          <w:drawing>
            <wp:anchor distT="0" distB="0" distL="0" distR="0" simplePos="0" relativeHeight="251660288" behindDoc="0" locked="0" layoutInCell="1" allowOverlap="1" wp14:anchorId="56A1F4EC" wp14:editId="10A56C54">
              <wp:simplePos x="899160" y="450215"/>
              <wp:positionH relativeFrom="page">
                <wp:align>right</wp:align>
              </wp:positionH>
              <wp:positionV relativeFrom="page">
                <wp:align>top</wp:align>
              </wp:positionV>
              <wp:extent cx="1221740" cy="357505"/>
              <wp:effectExtent l="0" t="0" r="0" b="4445"/>
              <wp:wrapNone/>
              <wp:docPr id="1733820299" name="Zone de texte 3" descr="ACP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1740" cy="357505"/>
                      </a:xfrm>
                      <a:prstGeom prst="rect">
                        <a:avLst/>
                      </a:prstGeom>
                      <a:noFill/>
                      <a:ln>
                        <a:noFill/>
                      </a:ln>
                    </wps:spPr>
                    <wps:txbx>
                      <w:txbxContent>
                        <w:p w:rsidR="00F131F7" w:rsidRPr="00F131F7" w:rsidRDefault="00F131F7" w:rsidP="00F131F7">
                          <w:pPr>
                            <w:spacing w:after="0"/>
                            <w:rPr>
                              <w:rFonts w:ascii="Aptos" w:eastAsia="Aptos" w:hAnsi="Aptos" w:cs="Aptos"/>
                              <w:noProof/>
                              <w:color w:val="000000"/>
                              <w:sz w:val="20"/>
                              <w:szCs w:val="20"/>
                            </w:rPr>
                          </w:pPr>
                          <w:r w:rsidRPr="00F131F7">
                            <w:rPr>
                              <w:rFonts w:ascii="Aptos" w:eastAsia="Aptos" w:hAnsi="Aptos" w:cs="Aptos"/>
                              <w:noProof/>
                              <w:color w:val="000000"/>
                              <w:sz w:val="20"/>
                              <w:szCs w:val="20"/>
                            </w:rPr>
                            <w:t>ACPR-RESTREINT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6A1F4EC" id="_x0000_t202" coordsize="21600,21600" o:spt="202" path="m,l,21600r21600,l21600,xe">
              <v:stroke joinstyle="miter"/>
              <v:path gradientshapeok="t" o:connecttype="rect"/>
            </v:shapetype>
            <v:shape id="Zone de texte 3" o:spid="_x0000_s1027" type="#_x0000_t202" alt="ACPR-RESTREINT" style="position:absolute;margin-left:45pt;margin-top:0;width:96.2pt;height:28.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" filled="f" stroked="f">
              <v:fill o:detectmouseclick="t"/>
              <v:textbox style="mso-fit-shape-to-text:t" inset="0,15pt,20pt,0">
                <w:txbxContent>
                  <w:p w:rsidR="00F131F7" w:rsidRPr="00F131F7" w:rsidRDefault="00F131F7" w:rsidP="00F131F7">
                    <w:pPr>
                      <w:spacing w:after="0"/>
                      <w:rPr>
                        <w:rFonts w:ascii="Aptos" w:eastAsia="Aptos" w:hAnsi="Aptos" w:cs="Aptos"/>
                        <w:noProof/>
                        <w:color w:val="000000"/>
                        <w:sz w:val="20"/>
                        <w:szCs w:val="20"/>
                      </w:rPr>
                    </w:pPr>
                    <w:r w:rsidRPr="00F131F7">
                      <w:rPr>
                        <w:rFonts w:ascii="Aptos" w:eastAsia="Aptos" w:hAnsi="Aptos" w:cs="Aptos"/>
                        <w:noProof/>
                        <w:color w:val="000000"/>
                        <w:sz w:val="20"/>
                        <w:szCs w:val="20"/>
                      </w:rPr>
                      <w:t>ACPR-RESTREINT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858" w:rsidRDefault="00F131F7">
    <w:pPr>
      <w:pStyle w:val="En-tte"/>
    </w:pPr>
    <w:r>
      <w:rPr>
        <w:noProof/>
      </w:rPr>
      <mc:AlternateContent>
        <mc:Choice Requires="wps">
          <w:drawing>
            <wp:anchor distT="0" distB="0" distL="0" distR="0" simplePos="0" relativeHeight="251658240" behindDoc="0" locked="0" layoutInCell="1" allowOverlap="1" wp14:anchorId="714EACF4" wp14:editId="7C9F21A3">
              <wp:simplePos x="635" y="635"/>
              <wp:positionH relativeFrom="page">
                <wp:align>right</wp:align>
              </wp:positionH>
              <wp:positionV relativeFrom="page">
                <wp:align>top</wp:align>
              </wp:positionV>
              <wp:extent cx="1221740" cy="357505"/>
              <wp:effectExtent l="0" t="0" r="0" b="4445"/>
              <wp:wrapNone/>
              <wp:docPr id="1516866645" name="Zone de texte 1" descr="ACPR-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1740" cy="357505"/>
                      </a:xfrm>
                      <a:prstGeom prst="rect">
                        <a:avLst/>
                      </a:prstGeom>
                      <a:noFill/>
                      <a:ln>
                        <a:noFill/>
                      </a:ln>
                    </wps:spPr>
                    <wps:txbx>
                      <w:txbxContent>
                        <w:p w:rsidR="00F131F7" w:rsidRPr="00F131F7" w:rsidRDefault="00F131F7" w:rsidP="00F131F7">
                          <w:pPr>
                            <w:spacing w:after="0"/>
                            <w:rPr>
                              <w:rFonts w:ascii="Aptos" w:eastAsia="Aptos" w:hAnsi="Aptos" w:cs="Aptos"/>
                              <w:noProof/>
                              <w:color w:val="000000"/>
                              <w:sz w:val="20"/>
                              <w:szCs w:val="20"/>
                            </w:rPr>
                          </w:pPr>
                          <w:r w:rsidRPr="00F131F7">
                            <w:rPr>
                              <w:rFonts w:ascii="Aptos" w:eastAsia="Aptos" w:hAnsi="Aptos" w:cs="Aptos"/>
                              <w:noProof/>
                              <w:color w:val="000000"/>
                              <w:sz w:val="20"/>
                              <w:szCs w:val="20"/>
                            </w:rPr>
                            <w:t>ACPR-RESTREINT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14EACF4" id="_x0000_t202" coordsize="21600,21600" o:spt="202" path="m,l,21600r21600,l21600,xe">
              <v:stroke joinstyle="miter"/>
              <v:path gradientshapeok="t" o:connecttype="rect"/>
            </v:shapetype>
            <v:shape id="Zone de texte 1" o:spid="_x0000_s1028" type="#_x0000_t202" alt="ACPR-RESTREINT" style="position:absolute;margin-left:45pt;margin-top:0;width:96.2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" filled="f" stroked="f">
              <v:fill o:detectmouseclick="t"/>
              <v:textbox style="mso-fit-shape-to-text:t" inset="0,15pt,20pt,0">
                <w:txbxContent>
                  <w:p w:rsidR="00F131F7" w:rsidRPr="00F131F7" w:rsidRDefault="00F131F7" w:rsidP="00F131F7">
                    <w:pPr>
                      <w:spacing w:after="0"/>
                      <w:rPr>
                        <w:rFonts w:ascii="Aptos" w:eastAsia="Aptos" w:hAnsi="Aptos" w:cs="Aptos"/>
                        <w:noProof/>
                        <w:color w:val="000000"/>
                        <w:sz w:val="20"/>
                        <w:szCs w:val="20"/>
                      </w:rPr>
                    </w:pPr>
                    <w:r w:rsidRPr="00F131F7">
                      <w:rPr>
                        <w:rFonts w:ascii="Aptos" w:eastAsia="Aptos" w:hAnsi="Aptos" w:cs="Aptos"/>
                        <w:noProof/>
                        <w:color w:val="000000"/>
                        <w:sz w:val="20"/>
                        <w:szCs w:val="20"/>
                      </w:rPr>
                      <w:t>ACPR-RESTREINT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D5AF2"/>
    <w:multiLevelType w:val="multilevel"/>
    <w:tmpl w:val="812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41F9"/>
    <w:multiLevelType w:val="multilevel"/>
    <w:tmpl w:val="7004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60894"/>
    <w:multiLevelType w:val="hybridMultilevel"/>
    <w:tmpl w:val="2BCA30FA"/>
    <w:lvl w:ilvl="0" w:tplc="E976FFE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584BBC"/>
    <w:multiLevelType w:val="hybridMultilevel"/>
    <w:tmpl w:val="5808C6DE"/>
    <w:lvl w:ilvl="0" w:tplc="19C2A03A">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0330661">
    <w:abstractNumId w:val="1"/>
  </w:num>
  <w:num w:numId="2" w16cid:durableId="237987257">
    <w:abstractNumId w:val="0"/>
  </w:num>
  <w:num w:numId="3" w16cid:durableId="868569887">
    <w:abstractNumId w:val="2"/>
  </w:num>
  <w:num w:numId="4" w16cid:durableId="438337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D9B"/>
    <w:rsid w:val="000A2BAB"/>
    <w:rsid w:val="001E527B"/>
    <w:rsid w:val="002E4DCC"/>
    <w:rsid w:val="00450914"/>
    <w:rsid w:val="004D3D70"/>
    <w:rsid w:val="004E4858"/>
    <w:rsid w:val="005A103E"/>
    <w:rsid w:val="00606A71"/>
    <w:rsid w:val="00722FA9"/>
    <w:rsid w:val="00841B44"/>
    <w:rsid w:val="00891D93"/>
    <w:rsid w:val="00896B6C"/>
    <w:rsid w:val="008A0D9B"/>
    <w:rsid w:val="00981907"/>
    <w:rsid w:val="00A01E7B"/>
    <w:rsid w:val="00A52148"/>
    <w:rsid w:val="00BE246E"/>
    <w:rsid w:val="00C40334"/>
    <w:rsid w:val="00C577D2"/>
    <w:rsid w:val="00E03B2E"/>
    <w:rsid w:val="00E84A78"/>
    <w:rsid w:val="00F131F7"/>
    <w:rsid w:val="00F723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F2BE"/>
  <w15:chartTrackingRefBased/>
  <w15:docId w15:val="{69634771-1380-4EC9-95CF-594680D4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8A0D9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A0D9B"/>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A0D9B"/>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A0D9B"/>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8A0D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8A0D9B"/>
    <w:rPr>
      <w:b/>
      <w:bCs/>
    </w:rPr>
  </w:style>
  <w:style w:type="paragraph" w:styleId="Paragraphedeliste">
    <w:name w:val="List Paragraph"/>
    <w:basedOn w:val="Normal"/>
    <w:uiPriority w:val="34"/>
    <w:qFormat/>
    <w:rsid w:val="008A0D9B"/>
    <w:pPr>
      <w:ind w:left="720"/>
      <w:contextualSpacing/>
    </w:pPr>
  </w:style>
  <w:style w:type="paragraph" w:styleId="Textedebulles">
    <w:name w:val="Balloon Text"/>
    <w:basedOn w:val="Normal"/>
    <w:link w:val="TextedebullesCar"/>
    <w:uiPriority w:val="99"/>
    <w:semiHidden/>
    <w:unhideWhenUsed/>
    <w:rsid w:val="008A0D9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A0D9B"/>
    <w:rPr>
      <w:rFonts w:ascii="Segoe UI" w:hAnsi="Segoe UI" w:cs="Segoe UI"/>
      <w:sz w:val="18"/>
      <w:szCs w:val="18"/>
    </w:rPr>
  </w:style>
  <w:style w:type="table" w:styleId="Grilledutableau">
    <w:name w:val="Table Grid"/>
    <w:basedOn w:val="TableauNormal"/>
    <w:uiPriority w:val="39"/>
    <w:rsid w:val="004D3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E4858"/>
    <w:pPr>
      <w:tabs>
        <w:tab w:val="center" w:pos="4536"/>
        <w:tab w:val="right" w:pos="9072"/>
      </w:tabs>
      <w:spacing w:after="0" w:line="240" w:lineRule="auto"/>
    </w:pPr>
  </w:style>
  <w:style w:type="character" w:customStyle="1" w:styleId="En-tteCar">
    <w:name w:val="En-tête Car"/>
    <w:basedOn w:val="Policepardfaut"/>
    <w:link w:val="En-tte"/>
    <w:uiPriority w:val="99"/>
    <w:rsid w:val="004E4858"/>
  </w:style>
  <w:style w:type="paragraph" w:styleId="Pieddepage">
    <w:name w:val="footer"/>
    <w:basedOn w:val="Normal"/>
    <w:link w:val="PieddepageCar"/>
    <w:uiPriority w:val="99"/>
    <w:unhideWhenUsed/>
    <w:rsid w:val="004E48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E48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3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1378</Words>
  <Characters>7585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Banque de France</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LESCA Ibtissam (DGSO DIIP)</dc:creator>
  <cp:keywords/>
  <dc:description/>
  <cp:lastModifiedBy>ANATO Félix (SGACPR DA)</cp:lastModifiedBy>
  <cp:revision>1</cp:revision>
  <dcterms:created xsi:type="dcterms:W3CDTF">2026-07-28T13:37:00Z</dcterms:created>
  <dcterms:modified xsi:type="dcterms:W3CDTF">2026-07-28T13:37:00Z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5a698c55,40c45c66,6757ff8b</vt:lpwstr>
  </property>
  <property fmtid="{D5CDD505-2E9C-101B-9397-08002B2CF9AE}" pid="3" name="ClassificationContentMarkingHeaderFontProps">
    <vt:lpwstr>#000000,10,Aptos</vt:lpwstr>
  </property>
  <property fmtid="{D5CDD505-2E9C-101B-9397-08002B2CF9AE}" pid="4" name="ClassificationContentMarkingHeaderText">
    <vt:lpwstr>ACPR-RESTREINT</vt:lpwstr>
  </property>
  <property fmtid="{D5CDD505-2E9C-101B-9397-08002B2CF9AE}" pid="5" name="MSIP_Label_74b897aa-4b02-4e55-85dc-615b19069589_Enabled">
    <vt:lpwstr>true</vt:lpwstr>
  </property>
  <property fmtid="{D5CDD505-2E9C-101B-9397-08002B2CF9AE}" pid="6" name="MSIP_Label_74b897aa-4b02-4e55-85dc-615b19069589_SetDate">
    <vt:lpwstr>2026-07-28T13:36:16Z</vt:lpwstr>
  </property>
  <property fmtid="{D5CDD505-2E9C-101B-9397-08002B2CF9AE}" pid="7" name="MSIP_Label_74b897aa-4b02-4e55-85dc-615b19069589_Method">
    <vt:lpwstr>Privileged</vt:lpwstr>
  </property>
  <property fmtid="{D5CDD505-2E9C-101B-9397-08002B2CF9AE}" pid="8" name="MSIP_Label_74b897aa-4b02-4e55-85dc-615b19069589_Name">
    <vt:lpwstr>ACPR-Restreint</vt:lpwstr>
  </property>
  <property fmtid="{D5CDD505-2E9C-101B-9397-08002B2CF9AE}" pid="9" name="MSIP_Label_74b897aa-4b02-4e55-85dc-615b19069589_SiteId">
    <vt:lpwstr>e6599448-62a0-418e-8930-d00d8d5682c2</vt:lpwstr>
  </property>
  <property fmtid="{D5CDD505-2E9C-101B-9397-08002B2CF9AE}" pid="10" name="MSIP_Label_74b897aa-4b02-4e55-85dc-615b19069589_ActionId">
    <vt:lpwstr>a9512770-0a2b-4455-8c22-7294bfadfaf2</vt:lpwstr>
  </property>
  <property fmtid="{D5CDD505-2E9C-101B-9397-08002B2CF9AE}" pid="11" name="MSIP_Label_74b897aa-4b02-4e55-85dc-615b19069589_ContentBits">
    <vt:lpwstr>1</vt:lpwstr>
  </property>
  <property fmtid="{D5CDD505-2E9C-101B-9397-08002B2CF9AE}" pid="12" name="MSIP_Label_74b897aa-4b02-4e55-85dc-615b19069589_Tag">
    <vt:lpwstr>10, 0, 1, 1</vt:lpwstr>
  </property>
</Properties>
</file>