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D2091E"/>
          <w:sz w:val="28"/>
          <w:szCs w:val="28"/>
        </w:rPr>
        <w:t xml:space="preserve">Stranger Strings</w:t>
      </w:r>
    </w:p>
    <w:p>
      <w:pPr>
        <w:spacing w:after="400" w:before="200"/>
        <w:jc w:val="center"/>
      </w:pPr>
      <w:r>
        <w:rPr>
          <w:sz w:val="22"/>
          <w:szCs w:val="22"/>
        </w:rPr>
        <w:t xml:space="preserve">INSY7315 — Task 1</w:t>
      </w:r>
    </w:p>
    <w:p>
      <w:pPr>
        <w:spacing w:after="200" w:before="800"/>
        <w:jc w:val="center"/>
      </w:pPr>
      <w:r>
        <w:rPr>
          <w:b/>
          <w:bCs/>
          <w:sz w:val="40"/>
          <w:szCs w:val="40"/>
        </w:rPr>
        <w:t xml:space="preserve">Security Implementation Documentation</w:t>
      </w:r>
    </w:p>
    <w:p>
      <w:pPr>
        <w:spacing w:after="800"/>
        <w:jc w:val="center"/>
      </w:pPr>
      <w:r>
        <w:rPr>
          <w:i/>
          <w:iCs/>
          <w:sz w:val="24"/>
          <w:szCs w:val="24"/>
        </w:rPr>
        <w:t xml:space="preserve">GCR Ratings HR Management System</w:t>
      </w:r>
    </w:p>
    <w:p>
      <w:pPr>
        <w:spacing w:after="80" w:before="1600"/>
        <w:jc w:val="center"/>
      </w:pPr>
      <w:r>
        <w:rPr>
          <w:b/>
          <w:bCs/>
          <w:sz w:val="20"/>
          <w:szCs w:val="20"/>
        </w:rPr>
        <w:t xml:space="preserve">Prepared by:</w:t>
      </w:r>
    </w:p>
    <w:p>
      <w:pPr>
        <w:spacing w:after="20"/>
        <w:jc w:val="center"/>
      </w:pPr>
      <w:r>
        <w:rPr>
          <w:sz w:val="20"/>
          <w:szCs w:val="20"/>
        </w:rPr>
        <w:t xml:space="preserve">Humza Ali — ST10445149</w:t>
      </w:r>
    </w:p>
    <w:p>
      <w:pPr>
        <w:spacing w:after="400"/>
        <w:jc w:val="center"/>
      </w:pPr>
      <w:r>
        <w:rPr>
          <w:sz w:val="20"/>
          <w:szCs w:val="20"/>
        </w:rPr>
        <w:t xml:space="preserve">Muhammad Seedat — ST10441173</w:t>
      </w:r>
    </w:p>
    <w:p>
      <w:pPr>
        <w:jc w:val="center"/>
      </w:pPr>
      <w:r>
        <w:rPr>
          <w:sz w:val="18"/>
          <w:szCs w:val="18"/>
        </w:rPr>
        <w:t xml:space="preserve">IIE Bachelor of Information Sciences in Application Development</w:t>
      </w:r>
    </w:p>
    <w:p>
      <w:pPr>
        <w:spacing w:after="1200"/>
        <w:jc w:val="center"/>
      </w:pPr>
      <w:r>
        <w:rPr>
          <w:sz w:val="18"/>
          <w:szCs w:val="18"/>
        </w:rPr>
        <w:t xml:space="preserve">October 2026</w:t>
      </w:r>
    </w:p>
    <w:p>
      <w:r>
        <w:br w:type="page"/>
      </w:r>
    </w:p>
    <w:p>
      <w:pPr>
        <w:pStyle w:val="Heading1"/>
        <w:spacing w:after="200" w:before="400"/>
      </w:pPr>
      <w:r>
        <w:t xml:space="preserve">Table of Contents</w:t>
      </w:r>
    </w:p>
    <w:p>
      <w:pPr>
        <w:spacing w:after="160"/>
      </w:pPr>
      <w:r>
        <w:t xml:space="preserve">1. Introduction</w:t>
      </w:r>
    </w:p>
    <w:p>
      <w:pPr>
        <w:spacing w:after="160"/>
      </w:pPr>
      <w:r>
        <w:t xml:space="preserve">2. Authentication</w:t>
      </w:r>
    </w:p>
    <w:p>
      <w:pPr>
        <w:spacing w:after="160"/>
      </w:pPr>
      <w:r>
        <w:t xml:space="preserve">3. Authorization</w:t>
      </w:r>
    </w:p>
    <w:p>
      <w:pPr>
        <w:spacing w:after="160"/>
      </w:pPr>
      <w:r>
        <w:t xml:space="preserve">4. Data Protection</w:t>
      </w:r>
    </w:p>
    <w:p>
      <w:pPr>
        <w:spacing w:after="160"/>
      </w:pPr>
      <w:r>
        <w:t xml:space="preserve">5. Cross-Site Scripting (XSS) Prevention</w:t>
      </w:r>
    </w:p>
    <w:p>
      <w:pPr>
        <w:spacing w:after="160"/>
      </w:pPr>
      <w:r>
        <w:t xml:space="preserve">6. SOQL Injection Prevention</w:t>
      </w:r>
    </w:p>
    <w:p>
      <w:pPr>
        <w:spacing w:after="160"/>
      </w:pPr>
      <w:r>
        <w:t xml:space="preserve">7. Cross-Site Request Forgery (CSRF) Protection</w:t>
      </w:r>
    </w:p>
    <w:p>
      <w:pPr>
        <w:spacing w:after="160"/>
      </w:pPr>
      <w:r>
        <w:t xml:space="preserve">8. Broken Authentication Mitigation</w:t>
      </w:r>
    </w:p>
    <w:p>
      <w:pPr>
        <w:spacing w:after="160"/>
      </w:pPr>
      <w:r>
        <w:t xml:space="preserve">9. Sensitive Data Exposure Prevention</w:t>
      </w:r>
    </w:p>
    <w:p>
      <w:pPr>
        <w:spacing w:after="160"/>
      </w:pPr>
      <w:r>
        <w:t xml:space="preserve">10. Audit Logging</w:t>
      </w:r>
    </w:p>
    <w:p>
      <w:pPr>
        <w:spacing w:after="160"/>
      </w:pPr>
      <w:r>
        <w:t xml:space="preserve">11. Standards and Compliance</w:t>
      </w:r>
    </w:p>
    <w:p>
      <w:pPr>
        <w:spacing w:after="160"/>
      </w:pPr>
      <w:r>
        <w:t xml:space="preserve">12. Documented Trade-offs</w:t>
      </w:r>
    </w:p>
    <w:p>
      <w:pPr>
        <w:spacing w:after="160"/>
      </w:pPr>
      <w:r>
        <w:t xml:space="preserve">13. Summary of Security Controls</w:t>
      </w:r>
    </w:p>
    <w:p>
      <w:pPr>
        <w:spacing w:after="160"/>
      </w:pPr>
      <w:r>
        <w:t xml:space="preserve">14. References</w:t>
      </w:r>
    </w:p>
    <w:p>
      <w:r>
        <w:br w:type="page"/>
      </w:r>
    </w:p>
    <w:p>
      <w:pPr>
        <w:pStyle w:val="Heading1"/>
        <w:spacing w:after="200" w:before="400"/>
      </w:pPr>
      <w:r>
        <w:t xml:space="preserve">1. Introduction</w:t>
      </w:r>
    </w:p>
    <w:p>
      <w:pPr>
        <w:spacing w:after="160"/>
      </w:pPr>
      <w:r>
        <w:t xml:space="preserve">This document describes how the GCR Ratings HR Management System, developed by Stranger Strings for the INSY7315 Task 1 assignment, satisfies the security requirements set out in Section 8 of the Task 1 specification. It covers Authentication, Authorization, Data Protection, Cross-Site Scripting (XSS) prevention, SOQL Injection prevention, Cross-Site Request Forgery (CSRF) protection, Broken Authentication Mitigation, Sensitive Data Exposure prevention, Audit Logging, and alignment with recognised security standards and compliance practices.</w:t>
      </w:r>
    </w:p>
    <w:p>
      <w:pPr>
        <w:spacing w:after="160"/>
      </w:pPr>
      <w:r>
        <w:t xml:space="preserve">Security was addressed in two complementary ways throughout the project. First, secure-by-default coding patterns were applied consistently across every Apex class and Lightning Web Component built in Parts 1 through 5 of the system (for example, enforcing field-level security on every query and DML statement, and never concatenating user input into SOQL). Second, a dedicated security hardening pass was carried out as Part 6 of the build, covering org-wide authentication policy, session management, and a field-level security audit of both permission sets. Both are documented below, mapped directly to the Section 8 requirements.</w:t>
      </w:r>
    </w:p>
    <w:p>
      <w:pPr>
        <w:pStyle w:val="Heading1"/>
        <w:spacing w:after="200" w:before="400"/>
      </w:pPr>
      <w:r>
        <w:t xml:space="preserve">2. Authentication</w:t>
      </w:r>
    </w:p>
    <w:p>
      <w:pPr>
        <w:spacing w:after="160"/>
      </w:pPr>
      <w:r>
        <w:t xml:space="preserve">Authentication controls were strengthened at the Salesforce org level to ensure only verified, authorised users can access the system.</w:t>
      </w:r>
    </w:p>
    <w:p>
      <w:pPr>
        <w:pStyle w:val="Heading2"/>
        <w:spacing w:after="150" w:before="300"/>
      </w:pPr>
      <w:r>
        <w:t xml:space="preserve">2.1 Multi-Factor Authentication</w:t>
      </w:r>
    </w:p>
    <w:p>
      <w:pPr>
        <w:spacing w:after="160"/>
      </w:pPr>
      <w:r>
        <w:t xml:space="preserve">Multi-factor authentication (MFA) is required for all direct UI logins to the Salesforce org. This was enabled under Setup &gt; Identity Verification by checking “Require multi-factor authentication (MFA) for all direct UI logins to your Salesforce org”. Once enabled, every user — HR Admin and Employee alike — must register and use a second verification factor (such as an authenticator app, physical security key, or SMS) in addition to their username and password before gaining access.</w:t>
      </w:r>
    </w:p>
    <w:p>
      <w:pPr>
        <w:pStyle w:val="Heading2"/>
        <w:spacing w:after="150" w:before="300"/>
      </w:pPr>
      <w:r>
        <w:t xml:space="preserve">2.2 Password Policy</w:t>
      </w:r>
    </w:p>
    <w:p>
      <w:pPr>
        <w:spacing w:after="160"/>
      </w:pPr>
      <w:r>
        <w:t xml:space="preserve">The following password policy was configured under Setup &gt; Password Policies:</w:t>
      </w:r>
    </w:p>
    <w:p>
      <w:pPr>
        <w:pStyle w:val="ListParagraph"/>
        <w:numPr>
          <w:ilvl w:val="0"/>
          <w:numId w:val="2"/>
        </w:numPr>
        <w:spacing w:after="80"/>
      </w:pPr>
      <w:r>
        <w:t xml:space="preserve">User passwords expire every 90 days</w:t>
      </w:r>
    </w:p>
    <w:p>
      <w:pPr>
        <w:pStyle w:val="ListParagraph"/>
        <w:numPr>
          <w:ilvl w:val="0"/>
          <w:numId w:val="2"/>
        </w:numPr>
        <w:spacing w:after="80"/>
      </w:pPr>
      <w:r>
        <w:t xml:space="preserve">Password history of 3 is enforced, preventing immediate password reuse</w:t>
      </w:r>
    </w:p>
    <w:p>
      <w:pPr>
        <w:pStyle w:val="ListParagraph"/>
        <w:numPr>
          <w:ilvl w:val="0"/>
          <w:numId w:val="2"/>
        </w:numPr>
        <w:spacing w:after="80"/>
      </w:pPr>
      <w:r>
        <w:t xml:space="preserve">Minimum password length of 8 characters</w:t>
      </w:r>
    </w:p>
    <w:p>
      <w:pPr>
        <w:pStyle w:val="ListParagraph"/>
        <w:numPr>
          <w:ilvl w:val="0"/>
          <w:numId w:val="2"/>
        </w:numPr>
        <w:spacing w:after="80"/>
      </w:pPr>
      <w:r>
        <w:t xml:space="preserve">Passwords must include a mix of alphabetic, numeric, and special characters</w:t>
      </w:r>
    </w:p>
    <w:p>
      <w:pPr>
        <w:pStyle w:val="ListParagraph"/>
        <w:numPr>
          <w:ilvl w:val="0"/>
          <w:numId w:val="2"/>
        </w:numPr>
        <w:spacing w:after="80"/>
      </w:pPr>
      <w:r>
        <w:t xml:space="preserve">Maximum of 5 invalid login attempts before the account is locked</w:t>
      </w:r>
    </w:p>
    <w:p>
      <w:pPr>
        <w:pStyle w:val="ListParagraph"/>
        <w:numPr>
          <w:ilvl w:val="0"/>
          <w:numId w:val="2"/>
        </w:numPr>
        <w:spacing w:after="80"/>
      </w:pPr>
      <w:r>
        <w:t xml:space="preserve">A 15-minute lockout period applies after the maximum attempts is reached</w:t>
      </w:r>
    </w:p>
    <w:p>
      <w:pPr>
        <w:pStyle w:val="ListParagraph"/>
        <w:numPr>
          <w:ilvl w:val="0"/>
          <w:numId w:val="2"/>
        </w:numPr>
        <w:spacing w:after="80"/>
      </w:pPr>
      <w:r>
        <w:t xml:space="preserve">Secret answers for password resets are obscured as they are typed</w:t>
      </w:r>
    </w:p>
    <w:p>
      <w:pPr>
        <w:pStyle w:val="ListParagraph"/>
        <w:numPr>
          <w:ilvl w:val="0"/>
          <w:numId w:val="2"/>
        </w:numPr>
        <w:spacing w:after="80"/>
      </w:pPr>
      <w:r>
        <w:t xml:space="preserve">A minimum 1-day password lifetime is enforced, preventing users from cycling through password history in a single session to bypass the history restriction</w:t>
      </w:r>
    </w:p>
    <w:p>
      <w:pPr>
        <w:pStyle w:val="Heading1"/>
        <w:spacing w:after="200" w:before="400"/>
      </w:pPr>
      <w:r>
        <w:t xml:space="preserve">3. Authorization</w:t>
      </w:r>
    </w:p>
    <w:p>
      <w:pPr>
        <w:spacing w:after="160"/>
      </w:pPr>
      <w:r>
        <w:t xml:space="preserve">Authorization in the system follows the principle of least privilege, implemented through role-based permission sets and enforced again at the Apex execution layer so that access control cannot be bypassed by calling Apex directly.</w:t>
      </w:r>
    </w:p>
    <w:p>
      <w:pPr>
        <w:pStyle w:val="Heading2"/>
        <w:spacing w:after="150" w:before="300"/>
      </w:pPr>
      <w:r>
        <w:t xml:space="preserve">3.1 Role-Based Permission Sets</w:t>
      </w:r>
    </w:p>
    <w:p>
      <w:pPr>
        <w:spacing w:after="160"/>
      </w:pPr>
      <w:r>
        <w:t xml:space="preserve">Two custom permission sets define what each role can do:</w:t>
      </w:r>
    </w:p>
    <w:p>
      <w:pPr>
        <w:pStyle w:val="ListParagraph"/>
        <w:numPr>
          <w:ilvl w:val="0"/>
          <w:numId w:val="2"/>
        </w:numPr>
        <w:spacing w:after="80"/>
      </w:pPr>
      <w:r>
        <w:t xml:space="preserve">HR Admin Access — full read/create/edit access to HR administrative functions: approving leave, managing training courses and requests, uploading employee documents, finalising performance reviews, and viewing the audit trail and HR dashboard.</w:t>
      </w:r>
    </w:p>
    <w:p>
      <w:pPr>
        <w:pStyle w:val="ListParagraph"/>
        <w:numPr>
          <w:ilvl w:val="0"/>
          <w:numId w:val="2"/>
        </w:numPr>
        <w:spacing w:after="80"/>
      </w:pPr>
      <w:r>
        <w:t xml:space="preserve">HR Employee Access — self-service access only: submitting leave requests, viewing (not editing) performance reviews and documents, viewing and marking assigned training as complete, and clocking in/out of attendance.</w:t>
      </w:r>
    </w:p>
    <w:p>
      <w:pPr>
        <w:pStyle w:val="Heading2"/>
        <w:spacing w:after="150" w:before="300"/>
      </w:pPr>
      <w:r>
        <w:t xml:space="preserve">3.2 Enforcement in Apex</w:t>
      </w:r>
    </w:p>
    <w:p>
      <w:pPr>
        <w:spacing w:after="160"/>
      </w:pPr>
      <w:r>
        <w:t xml:space="preserve">Authorization is not left to the user interface alone. Every Apex controller in the system is declared with the ‘with sharing’ keyword, meaning Salesforce's record-level sharing rules are respected rather than bypassed. The only classes declared ‘without sharing’ are NotificationService and AuditService, both of which must write records on behalf of other users by design (for example, notifying an employee when their leave is approved by someone else); this is a deliberate, documented exception rather than an oversight.</w:t>
      </w:r>
    </w:p>
    <w:p>
      <w:pPr>
        <w:spacing w:after="160"/>
      </w:pPr>
      <w:r>
        <w:t xml:space="preserve">In addition, every SOQL query and DML statement uses Salesforce's user-mode enforcement — either the ‘WITH USER_MODE’ clause on queries or ‘insert as user’ / ‘update as user’ on DML — so that field-level security and object permissions are evaluated against the running user's actual permission set at the moment the code executes, not just at the UI layer. This means that even if a user attempted to invoke Apex logic directly, they could not read or write a field their permission set does not grant them access to.</w:t>
      </w:r>
    </w:p>
    <w:p>
      <w:pPr>
        <w:pStyle w:val="Heading1"/>
        <w:spacing w:after="200" w:before="400"/>
      </w:pPr>
      <w:r>
        <w:t xml:space="preserve">4. Data Protection</w:t>
      </w:r>
    </w:p>
    <w:p>
      <w:pPr>
        <w:spacing w:after="160"/>
      </w:pPr>
      <w:r>
        <w:t xml:space="preserve">Several patterns were applied to reduce the risk of unintended data exposure or corruption during data operations:</w:t>
      </w:r>
    </w:p>
    <w:p>
      <w:pPr>
        <w:pStyle w:val="ListParagraph"/>
        <w:numPr>
          <w:ilvl w:val="0"/>
          <w:numId w:val="2"/>
        </w:numPr>
        <w:spacing w:after="80"/>
      </w:pPr>
      <w:r>
        <w:t xml:space="preserve">Master-detail and lookup fields are updated using minimal-field SObject construction (only the record Id and the specific changed fields are included in each DML statement), avoiding accidental overwrites of unrelated fields and keeping each update's footprint as small as possible.</w:t>
      </w:r>
    </w:p>
    <w:p>
      <w:pPr>
        <w:pStyle w:val="ListParagraph"/>
        <w:numPr>
          <w:ilvl w:val="0"/>
          <w:numId w:val="2"/>
        </w:numPr>
        <w:spacing w:after="80"/>
      </w:pPr>
      <w:r>
        <w:t xml:space="preserve">Employee documents (contracts, payslips, policies) are stored using Salesforce's native Files feature (ContentVersion and ContentDocumentLink), which benefits from Salesforce's built-in encryption of data at rest and TLS encryption of data in transit, rather than being stored as plain text fields.</w:t>
      </w:r>
    </w:p>
    <w:p>
      <w:pPr>
        <w:pStyle w:val="ListParagraph"/>
        <w:numPr>
          <w:ilvl w:val="0"/>
          <w:numId w:val="2"/>
        </w:numPr>
        <w:spacing w:after="80"/>
      </w:pPr>
      <w:r>
        <w:t xml:space="preserve">Documents are visible only to the employee they belong to and to HR Admin users, enforced through the Document__c object's Uploaded_By__c field and the controllers that query it.</w:t>
      </w:r>
    </w:p>
    <w:p>
      <w:pPr>
        <w:pStyle w:val="Heading1"/>
        <w:spacing w:after="200" w:before="400"/>
      </w:pPr>
      <w:r>
        <w:t xml:space="preserve">5. Cross-Site Scripting (XSS) Prevention</w:t>
      </w:r>
    </w:p>
    <w:p>
      <w:pPr>
        <w:spacing w:after="160"/>
      </w:pPr>
      <w:r>
        <w:t xml:space="preserve">The entire user interface — both the Employee mobile app and the HR/Admin web portal — is built using Lightning Web Components (LWC). LWC automatically escapes any data bound into the DOM through standard template expressions (for example, {fieldValue}), so user-supplied text such as leave reasons, performance review comments, or document names cannot be interpreted as executable script by the browser. No component in the codebase uses unsafe patterns such as innerHTML assignment or eval() with untrusted input.</w:t>
      </w:r>
    </w:p>
    <w:p>
      <w:pPr>
        <w:spacing w:after="160"/>
      </w:pPr>
      <w:r>
        <w:t xml:space="preserve">As an additional layer of defence, Lightning Web Security (LWS) is enabled for the org under Setup &gt; Session Settings, which sandboxes each component's JavaScript execution context and restricts what a component can access on the page, further limiting the impact of any script injection attempt.</w:t>
      </w:r>
    </w:p>
    <w:p>
      <w:pPr>
        <w:pStyle w:val="Heading1"/>
        <w:spacing w:after="200" w:before="400"/>
      </w:pPr>
      <w:r>
        <w:t xml:space="preserve">6. SOQL Injection Prevention</w:t>
      </w:r>
    </w:p>
    <w:p>
      <w:pPr>
        <w:spacing w:after="160"/>
      </w:pPr>
      <w:r>
        <w:t xml:space="preserve">All SOQL queries throughout the codebase use bind variables (the ‘:variableName’ syntax) to pass user-supplied values into queries, which is Salesforce's equivalent of a parameterised query. User input is never concatenated directly into a query string. No class in the codebase uses dynamic SOQL (Database.query(String)) at all, which removes the primary avenue for SOQL injection entirely, since there is no string-built query for malicious input to alter.</w:t>
      </w:r>
    </w:p>
    <w:p>
      <w:pPr>
        <w:pStyle w:val="Heading1"/>
        <w:spacing w:after="200" w:before="400"/>
      </w:pPr>
      <w:r>
        <w:t xml:space="preserve">7. Cross-Site Request Forgery (CSRF) Protection</w:t>
      </w:r>
    </w:p>
    <w:p>
      <w:pPr>
        <w:spacing w:after="160"/>
      </w:pPr>
      <w:r>
        <w:t xml:space="preserve">Salesforce enforces CSRF protection on both GET and POST requests for all non-Setup pages by default at the platform level. This was verified (not configured, since it is enabled and locked on by Salesforce) under Setup &gt; Session Settings, where ‘Enable CSRF protection on GET requests on non-setup pages’ and ‘Enable CSRF protection on POST requests on non-setup pages’ are both shown as active. Clickjack protection — which prevents the application's pages from being embedded in a malicious iframe to trick users into unintended actions — is likewise enabled by default for both Setup and non-Setup pages.</w:t>
      </w:r>
    </w:p>
    <w:p>
      <w:pPr>
        <w:pStyle w:val="Heading1"/>
        <w:spacing w:after="200" w:before="400"/>
      </w:pPr>
      <w:r>
        <w:t xml:space="preserve">8. Broken Authentication Mitigation</w:t>
      </w:r>
    </w:p>
    <w:p>
      <w:pPr>
        <w:spacing w:after="160"/>
      </w:pPr>
      <w:r>
        <w:t xml:space="preserve">In addition to the authentication controls described in Section 2, the following session-level protections were configured under Setup &gt; Session Settings to reduce the risk of session-based attacks:</w:t>
      </w:r>
    </w:p>
    <w:p>
      <w:pPr>
        <w:pStyle w:val="ListParagraph"/>
        <w:numPr>
          <w:ilvl w:val="0"/>
          <w:numId w:val="2"/>
        </w:numPr>
        <w:spacing w:after="80"/>
      </w:pPr>
      <w:r>
        <w:t xml:space="preserve">Session timeout reduced from the default 2 hours to 30 minutes, limiting the window during which an unattended, authenticated session could be exploited</w:t>
      </w:r>
    </w:p>
    <w:p>
      <w:pPr>
        <w:pStyle w:val="ListParagraph"/>
        <w:numPr>
          <w:ilvl w:val="0"/>
          <w:numId w:val="2"/>
        </w:numPr>
        <w:spacing w:after="80"/>
      </w:pPr>
      <w:r>
        <w:t xml:space="preserve">‘Require HttpOnly attribute’ enabled, which prevents client-side JavaScript from reading the session cookie, mitigating session-token theft via a successful XSS attempt</w:t>
      </w:r>
    </w:p>
    <w:p>
      <w:pPr>
        <w:pStyle w:val="ListParagraph"/>
        <w:numPr>
          <w:ilvl w:val="0"/>
          <w:numId w:val="2"/>
        </w:numPr>
        <w:spacing w:after="80"/>
      </w:pPr>
      <w:r>
        <w:t xml:space="preserve">Sessions are locked to the domain in which they were first used, preventing a stolen session identifier from being replayed from a different domain</w:t>
      </w:r>
    </w:p>
    <w:p>
      <w:pPr>
        <w:pStyle w:val="ListParagraph"/>
        <w:numPr>
          <w:ilvl w:val="0"/>
          <w:numId w:val="2"/>
        </w:numPr>
        <w:spacing w:after="80"/>
      </w:pPr>
      <w:r>
        <w:t xml:space="preserve">Account lockout after 5 failed login attempts (Section 2.2) prevents brute-force password guessing</w:t>
      </w:r>
    </w:p>
    <w:p>
      <w:pPr>
        <w:pStyle w:val="Heading1"/>
        <w:spacing w:after="200" w:before="400"/>
      </w:pPr>
      <w:r>
        <w:t xml:space="preserve">9. Sensitive Data Exposure Prevention</w:t>
      </w:r>
    </w:p>
    <w:p>
      <w:pPr>
        <w:spacing w:after="160"/>
      </w:pPr>
      <w:r>
        <w:t xml:space="preserve">A dedicated field-level security (FLS) audit of the HR Employee Access permission set was carried out as part of this security hardening pass, to confirm that employees cannot view or modify data beyond what their role requires. The audit confirmed:</w:t>
      </w:r>
    </w:p>
    <w:p>
      <w:pPr>
        <w:pStyle w:val="ListParagraph"/>
        <w:numPr>
          <w:ilvl w:val="0"/>
          <w:numId w:val="2"/>
        </w:numPr>
        <w:spacing w:after="80"/>
      </w:pPr>
      <w:r>
        <w:t xml:space="preserve">Audit Logs — zero object access (no Read, Create, Edit, or Delete); employees cannot see the system's internal audit trail at all</w:t>
      </w:r>
    </w:p>
    <w:p>
      <w:pPr>
        <w:pStyle w:val="ListParagraph"/>
        <w:numPr>
          <w:ilvl w:val="0"/>
          <w:numId w:val="2"/>
        </w:numPr>
        <w:spacing w:after="80"/>
      </w:pPr>
      <w:r>
        <w:t xml:space="preserve">Performance Reviews — Read-only; employees can view their own review but cannot edit the rating, status, or comments</w:t>
      </w:r>
    </w:p>
    <w:p>
      <w:pPr>
        <w:pStyle w:val="ListParagraph"/>
        <w:numPr>
          <w:ilvl w:val="0"/>
          <w:numId w:val="2"/>
        </w:numPr>
        <w:spacing w:after="80"/>
      </w:pPr>
      <w:r>
        <w:t xml:space="preserve">Leave — Read and Create only on approval-related fields (Status, Approver, Approved Date, Rejection Reason); employees can submit a request but cannot approve or reject their own leave</w:t>
      </w:r>
    </w:p>
    <w:p>
      <w:pPr>
        <w:pStyle w:val="ListParagraph"/>
        <w:numPr>
          <w:ilvl w:val="0"/>
          <w:numId w:val="2"/>
        </w:numPr>
        <w:spacing w:after="80"/>
      </w:pPr>
      <w:r>
        <w:t xml:space="preserve">Documents — Read-only; employees can view and download their documents but cannot edit or reassign them</w:t>
      </w:r>
    </w:p>
    <w:p>
      <w:pPr>
        <w:pStyle w:val="ListParagraph"/>
        <w:numPr>
          <w:ilvl w:val="0"/>
          <w:numId w:val="2"/>
        </w:numPr>
        <w:spacing w:after="80"/>
      </w:pPr>
      <w:r>
        <w:t xml:space="preserve">Employee — Status, Department, Manager, and Position fields are Read-only; employees cannot change their own employment status or reporting line</w:t>
      </w:r>
    </w:p>
    <w:p>
      <w:pPr>
        <w:spacing w:after="160"/>
      </w:pPr>
      <w:r>
        <w:t xml:space="preserve">No field in the current data model stores highly sensitive personal data such as banking details, government identification numbers, or medical information; the fields that do exist (email, phone, hire date) are protected by the field-level security settings above and are visible only to the record owner and HR Admin users.</w:t>
      </w:r>
    </w:p>
    <w:p>
      <w:pPr>
        <w:pStyle w:val="Heading1"/>
        <w:spacing w:after="200" w:before="400"/>
      </w:pPr>
      <w:r>
        <w:t xml:space="preserve">10. Audit Logging</w:t>
      </w:r>
    </w:p>
    <w:p>
      <w:pPr>
        <w:spacing w:after="160"/>
      </w:pPr>
      <w:r>
        <w:t xml:space="preserve">A custom Audit_Log__c object and a dedicated AuditService Apex class record every significant HR action performed in the system, including:</w:t>
      </w:r>
    </w:p>
    <w:p>
      <w:pPr>
        <w:pStyle w:val="ListParagraph"/>
        <w:numPr>
          <w:ilvl w:val="0"/>
          <w:numId w:val="2"/>
        </w:numPr>
        <w:spacing w:after="80"/>
      </w:pPr>
      <w:r>
        <w:t xml:space="preserve">Leave request approval and rejection</w:t>
      </w:r>
    </w:p>
    <w:p>
      <w:pPr>
        <w:pStyle w:val="ListParagraph"/>
        <w:numPr>
          <w:ilvl w:val="0"/>
          <w:numId w:val="2"/>
        </w:numPr>
        <w:spacing w:after="80"/>
      </w:pPr>
      <w:r>
        <w:t xml:space="preserve">Performance review finalisation</w:t>
      </w:r>
    </w:p>
    <w:p>
      <w:pPr>
        <w:pStyle w:val="ListParagraph"/>
        <w:numPr>
          <w:ilvl w:val="0"/>
          <w:numId w:val="2"/>
        </w:numPr>
        <w:spacing w:after="80"/>
      </w:pPr>
      <w:r>
        <w:t xml:space="preserve">Attendance clock-in and clock-out</w:t>
      </w:r>
    </w:p>
    <w:p>
      <w:pPr>
        <w:pStyle w:val="ListParagraph"/>
        <w:numPr>
          <w:ilvl w:val="0"/>
          <w:numId w:val="2"/>
        </w:numPr>
        <w:spacing w:after="80"/>
      </w:pPr>
      <w:r>
        <w:t xml:space="preserve">Training course creation, and training request approval, rejection, and direct assignment</w:t>
      </w:r>
    </w:p>
    <w:p>
      <w:pPr>
        <w:pStyle w:val="ListParagraph"/>
        <w:numPr>
          <w:ilvl w:val="0"/>
          <w:numId w:val="2"/>
        </w:numPr>
        <w:spacing w:after="80"/>
      </w:pPr>
      <w:r>
        <w:t xml:space="preserve">Employee marking a training assignment as complete</w:t>
      </w:r>
    </w:p>
    <w:p>
      <w:pPr>
        <w:pStyle w:val="ListParagraph"/>
        <w:numPr>
          <w:ilvl w:val="0"/>
          <w:numId w:val="2"/>
        </w:numPr>
        <w:spacing w:after="80"/>
      </w:pPr>
      <w:r>
        <w:t xml:space="preserve">Document upload by HR</w:t>
      </w:r>
    </w:p>
    <w:p>
      <w:pPr>
        <w:spacing w:after="160"/>
      </w:pPr>
      <w:r>
        <w:t xml:space="preserve">Each audit entry records the action performed, the affected object type and record Id, a human-readable detail message, the timestamp, and the user who performed the action. The AuditService class is intentionally fault-tolerant: if writing an audit entry fails for any reason, the error is logged internally but never thrown back to the caller, ensuring that an audit logging failure can never block or roll back the primary HR transaction it is recording. Audit entries are visible exclusively to HR Admin users through a dedicated Audit Trail page in the HR Admin Portal; as confirmed in Section 9, standard employee users have no access to this data.</w:t>
      </w:r>
    </w:p>
    <w:p>
      <w:pPr>
        <w:pStyle w:val="Heading1"/>
        <w:spacing w:after="200" w:before="400"/>
      </w:pPr>
      <w:r>
        <w:t xml:space="preserve">11. Standards and Compliance</w:t>
      </w:r>
    </w:p>
    <w:p>
      <w:pPr>
        <w:spacing w:after="160"/>
      </w:pPr>
      <w:r>
        <w:t xml:space="preserve">The security controls described in this document were designed with reference to the OWASP Top 10 (2021) web application security risk categories, and align as follows:</w:t>
      </w:r>
    </w:p>
    <w:p>
      <w:pPr>
        <w:pStyle w:val="ListParagraph"/>
        <w:numPr>
          <w:ilvl w:val="0"/>
          <w:numId w:val="2"/>
        </w:numPr>
        <w:spacing w:after="80"/>
      </w:pPr>
      <w:r>
        <w:t xml:space="preserve">A01: Broken Access Control — mitigated through role-based permission sets, Apex sharing enforcement, and WITH USER_MODE / as user DML (Section 3)</w:t>
      </w:r>
    </w:p>
    <w:p>
      <w:pPr>
        <w:pStyle w:val="ListParagraph"/>
        <w:numPr>
          <w:ilvl w:val="0"/>
          <w:numId w:val="2"/>
        </w:numPr>
        <w:spacing w:after="80"/>
      </w:pPr>
      <w:r>
        <w:t xml:space="preserve">A03: Injection — mitigated through exclusive use of bind-variable SOQL and the avoidance of dynamic query construction (Section 6)</w:t>
      </w:r>
    </w:p>
    <w:p>
      <w:pPr>
        <w:pStyle w:val="ListParagraph"/>
        <w:numPr>
          <w:ilvl w:val="0"/>
          <w:numId w:val="2"/>
        </w:numPr>
        <w:spacing w:after="80"/>
      </w:pPr>
      <w:r>
        <w:t xml:space="preserve">A05: Security Misconfiguration — mitigated through an explicit least-privilege permission set design, verified by the field-level security audit (Section 9)</w:t>
      </w:r>
    </w:p>
    <w:p>
      <w:pPr>
        <w:pStyle w:val="ListParagraph"/>
        <w:numPr>
          <w:ilvl w:val="0"/>
          <w:numId w:val="2"/>
        </w:numPr>
        <w:spacing w:after="80"/>
      </w:pPr>
      <w:r>
        <w:t xml:space="preserve">A07: Identification and Authentication Failures — mitigated through mandatory MFA, a strong password policy, account lockout, and session hardening (Sections 2 and 8)</w:t>
      </w:r>
    </w:p>
    <w:p>
      <w:pPr>
        <w:spacing w:after="160"/>
      </w:pPr>
      <w:r>
        <w:t xml:space="preserve">The implementation also relies on Salesforce's own platform-level security baseline described in Salesforce's Trust and Security documentation, including encryption of data at rest and in transit, CSRF and clickjack protection enforced by default, and the Lightning Web Security sandboxing model for front-end components.</w:t>
      </w:r>
    </w:p>
    <w:p>
      <w:pPr>
        <w:pStyle w:val="Heading1"/>
        <w:spacing w:after="200" w:before="400"/>
      </w:pPr>
      <w:r>
        <w:t xml:space="preserve">12. Documented Trade-offs</w:t>
      </w:r>
    </w:p>
    <w:p>
      <w:pPr>
        <w:spacing w:after="160"/>
      </w:pPr>
      <w:r>
        <w:t xml:space="preserve">One security control considered but deliberately not implemented in this academic environment is login IP range restriction (limiting access to a defined set of trusted network addresses). The development organisation is actively used by two student developers working from variable locations, including home networks, campus Wi-Fi, and mobile data connections. Enforcing IP restrictions would frequently lock legitimate developers out of the org without a corresponding security benefit, since there is no fixed “corporate network” to restrict access to during development. In a live production deployment for GCR Ratings, this control would be configured to restrict logins to the organisation's known corporate and VPN IP ranges.</w:t>
      </w:r>
    </w:p>
    <w:p>
      <w:pPr>
        <w:pStyle w:val="Heading1"/>
        <w:spacing w:after="200" w:before="400"/>
      </w:pPr>
      <w:r>
        <w:t xml:space="preserve">13. Summary of Security Controls</w:t>
      </w:r>
    </w:p>
    <w:p>
      <w:pPr>
        <w:spacing w:after="160"/>
      </w:pPr>
      <w:r>
        <w:t xml:space="preserve">The table below summarises how each Section 8 requirement is satisfied and where it is configured or enforced in the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600"/>
      </w:tblGrid>
      <w:tr>
        <w:trPr>
          <w:cantSplit/>
        </w:trPr>
        <w:tc>
          <w:tcPr>
            <w:tcW w:type="dxa" w:w="2800"/>
            <w:shd w:fill="D2091E" w:color="auto" w:val="clear"/>
            <w:tcMar>
              <w:top w:type="dxa" w:w="80"/>
              <w:left w:type="dxa" w:w="100"/>
              <w:bottom w:type="dxa" w:w="80"/>
              <w:right w:type="dxa" w:w="100"/>
            </w:tcMar>
          </w:tcPr>
          <w:p>
            <w:r>
              <w:rPr>
                <w:b/>
                <w:bCs/>
                <w:color w:val="FFFFFF"/>
                <w:sz w:val="18"/>
                <w:szCs w:val="18"/>
              </w:rPr>
              <w:t xml:space="preserve">Section 8 Requirement</w:t>
            </w:r>
          </w:p>
        </w:tc>
        <w:tc>
          <w:tcPr>
            <w:tcW w:type="dxa" w:w="4200"/>
            <w:shd w:fill="D2091E" w:color="auto" w:val="clear"/>
            <w:tcMar>
              <w:top w:type="dxa" w:w="80"/>
              <w:left w:type="dxa" w:w="100"/>
              <w:bottom w:type="dxa" w:w="80"/>
              <w:right w:type="dxa" w:w="100"/>
            </w:tcMar>
          </w:tcPr>
          <w:p>
            <w:r>
              <w:rPr>
                <w:b/>
                <w:bCs/>
                <w:color w:val="FFFFFF"/>
                <w:sz w:val="18"/>
                <w:szCs w:val="18"/>
              </w:rPr>
              <w:t xml:space="preserve">Implementation</w:t>
            </w:r>
          </w:p>
        </w:tc>
        <w:tc>
          <w:tcPr>
            <w:tcW w:type="dxa" w:w="2600"/>
            <w:shd w:fill="D2091E" w:color="auto" w:val="clear"/>
            <w:tcMar>
              <w:top w:type="dxa" w:w="80"/>
              <w:left w:type="dxa" w:w="100"/>
              <w:bottom w:type="dxa" w:w="80"/>
              <w:right w:type="dxa" w:w="100"/>
            </w:tcMar>
          </w:tcPr>
          <w:p>
            <w:r>
              <w:rPr>
                <w:b/>
                <w:bCs/>
                <w:color w:val="FFFFFF"/>
                <w:sz w:val="18"/>
                <w:szCs w:val="18"/>
              </w:rPr>
              <w:t xml:space="preserve">Where Configured / Enforced</w:t>
            </w:r>
          </w:p>
        </w:tc>
      </w:tr>
      <w:tr>
        <w:trPr>
          <w:cantSplit/>
        </w:trPr>
        <w:tc>
          <w:tcPr>
            <w:tcW w:type="dxa" w:w="2800"/>
            <w:tcMar>
              <w:top w:type="dxa" w:w="80"/>
              <w:left w:type="dxa" w:w="100"/>
              <w:bottom w:type="dxa" w:w="80"/>
              <w:right w:type="dxa" w:w="100"/>
            </w:tcMar>
          </w:tcPr>
          <w:p>
            <w:r>
              <w:rPr>
                <w:b w:val="false"/>
                <w:bCs w:val="false"/>
                <w:sz w:val="18"/>
                <w:szCs w:val="18"/>
              </w:rPr>
              <w:t xml:space="preserve">Authentication</w:t>
            </w:r>
          </w:p>
        </w:tc>
        <w:tc>
          <w:tcPr>
            <w:tcW w:type="dxa" w:w="4200"/>
            <w:tcMar>
              <w:top w:type="dxa" w:w="80"/>
              <w:left w:type="dxa" w:w="100"/>
              <w:bottom w:type="dxa" w:w="80"/>
              <w:right w:type="dxa" w:w="100"/>
            </w:tcMar>
          </w:tcPr>
          <w:p>
            <w:r>
              <w:rPr>
                <w:b w:val="false"/>
                <w:bCs w:val="false"/>
                <w:sz w:val="18"/>
                <w:szCs w:val="18"/>
              </w:rPr>
              <w:t xml:space="preserve">MFA required for all direct UI logins; password complexity, expiry, history and minimum lifetime policy</w:t>
            </w:r>
          </w:p>
        </w:tc>
        <w:tc>
          <w:tcPr>
            <w:tcW w:type="dxa" w:w="2600"/>
            <w:tcMar>
              <w:top w:type="dxa" w:w="80"/>
              <w:left w:type="dxa" w:w="100"/>
              <w:bottom w:type="dxa" w:w="80"/>
              <w:right w:type="dxa" w:w="100"/>
            </w:tcMar>
          </w:tcPr>
          <w:p>
            <w:r>
              <w:rPr>
                <w:b w:val="false"/>
                <w:bCs w:val="false"/>
                <w:sz w:val="18"/>
                <w:szCs w:val="18"/>
              </w:rPr>
              <w:t xml:space="preserve">Setup &gt; Identity Verification; Setup &gt; Password Policies</w:t>
            </w:r>
          </w:p>
        </w:tc>
      </w:tr>
      <w:tr>
        <w:trPr>
          <w:cantSplit/>
        </w:trPr>
        <w:tc>
          <w:tcPr>
            <w:tcW w:type="dxa" w:w="2800"/>
            <w:tcMar>
              <w:top w:type="dxa" w:w="80"/>
              <w:left w:type="dxa" w:w="100"/>
              <w:bottom w:type="dxa" w:w="80"/>
              <w:right w:type="dxa" w:w="100"/>
            </w:tcMar>
          </w:tcPr>
          <w:p>
            <w:r>
              <w:rPr>
                <w:b w:val="false"/>
                <w:bCs w:val="false"/>
                <w:sz w:val="18"/>
                <w:szCs w:val="18"/>
              </w:rPr>
              <w:t xml:space="preserve">Authorization</w:t>
            </w:r>
          </w:p>
        </w:tc>
        <w:tc>
          <w:tcPr>
            <w:tcW w:type="dxa" w:w="4200"/>
            <w:tcMar>
              <w:top w:type="dxa" w:w="80"/>
              <w:left w:type="dxa" w:w="100"/>
              <w:bottom w:type="dxa" w:w="80"/>
              <w:right w:type="dxa" w:w="100"/>
            </w:tcMar>
          </w:tcPr>
          <w:p>
            <w:r>
              <w:rPr>
                <w:b w:val="false"/>
                <w:bCs w:val="false"/>
                <w:sz w:val="18"/>
                <w:szCs w:val="18"/>
              </w:rPr>
              <w:t xml:space="preserve">Role-based permission sets (HR Admin Access, HR Employee Access); Apex classes declared with sharing; WITH USER_MODE / as user DML</w:t>
            </w:r>
          </w:p>
        </w:tc>
        <w:tc>
          <w:tcPr>
            <w:tcW w:type="dxa" w:w="2600"/>
            <w:tcMar>
              <w:top w:type="dxa" w:w="80"/>
              <w:left w:type="dxa" w:w="100"/>
              <w:bottom w:type="dxa" w:w="80"/>
              <w:right w:type="dxa" w:w="100"/>
            </w:tcMar>
          </w:tcPr>
          <w:p>
            <w:r>
              <w:rPr>
                <w:b w:val="false"/>
                <w:bCs w:val="false"/>
                <w:sz w:val="18"/>
                <w:szCs w:val="18"/>
              </w:rPr>
              <w:t xml:space="preserve">Permission Sets; all Apex controllers</w:t>
            </w:r>
          </w:p>
        </w:tc>
      </w:tr>
      <w:tr>
        <w:trPr>
          <w:cantSplit/>
        </w:trPr>
        <w:tc>
          <w:tcPr>
            <w:tcW w:type="dxa" w:w="2800"/>
            <w:tcMar>
              <w:top w:type="dxa" w:w="80"/>
              <w:left w:type="dxa" w:w="100"/>
              <w:bottom w:type="dxa" w:w="80"/>
              <w:right w:type="dxa" w:w="100"/>
            </w:tcMar>
          </w:tcPr>
          <w:p>
            <w:r>
              <w:rPr>
                <w:b w:val="false"/>
                <w:bCs w:val="false"/>
                <w:sz w:val="18"/>
                <w:szCs w:val="18"/>
              </w:rPr>
              <w:t xml:space="preserve">Data Protection</w:t>
            </w:r>
          </w:p>
        </w:tc>
        <w:tc>
          <w:tcPr>
            <w:tcW w:type="dxa" w:w="4200"/>
            <w:tcMar>
              <w:top w:type="dxa" w:w="80"/>
              <w:left w:type="dxa" w:w="100"/>
              <w:bottom w:type="dxa" w:w="80"/>
              <w:right w:type="dxa" w:w="100"/>
            </w:tcMar>
          </w:tcPr>
          <w:p>
            <w:r>
              <w:rPr>
                <w:b w:val="false"/>
                <w:bCs w:val="false"/>
                <w:sz w:val="18"/>
                <w:szCs w:val="18"/>
              </w:rPr>
              <w:t xml:space="preserve">Minimal-field DML pattern; native Salesforce Files with built-in encryption at rest and in transit</w:t>
            </w:r>
          </w:p>
        </w:tc>
        <w:tc>
          <w:tcPr>
            <w:tcW w:type="dxa" w:w="2600"/>
            <w:tcMar>
              <w:top w:type="dxa" w:w="80"/>
              <w:left w:type="dxa" w:w="100"/>
              <w:bottom w:type="dxa" w:w="80"/>
              <w:right w:type="dxa" w:w="100"/>
            </w:tcMar>
          </w:tcPr>
          <w:p>
            <w:r>
              <w:rPr>
                <w:b w:val="false"/>
                <w:bCs w:val="false"/>
                <w:sz w:val="18"/>
                <w:szCs w:val="18"/>
              </w:rPr>
              <w:t xml:space="preserve">Apex DML patterns; ContentVersion/ContentDocumentLink usage</w:t>
            </w:r>
          </w:p>
        </w:tc>
      </w:tr>
      <w:tr>
        <w:trPr>
          <w:cantSplit/>
        </w:trPr>
        <w:tc>
          <w:tcPr>
            <w:tcW w:type="dxa" w:w="2800"/>
            <w:tcMar>
              <w:top w:type="dxa" w:w="80"/>
              <w:left w:type="dxa" w:w="100"/>
              <w:bottom w:type="dxa" w:w="80"/>
              <w:right w:type="dxa" w:w="100"/>
            </w:tcMar>
          </w:tcPr>
          <w:p>
            <w:r>
              <w:rPr>
                <w:b w:val="false"/>
                <w:bCs w:val="false"/>
                <w:sz w:val="18"/>
                <w:szCs w:val="18"/>
              </w:rPr>
              <w:t xml:space="preserve">Cross-Site Scripting (XSS)</w:t>
            </w:r>
          </w:p>
        </w:tc>
        <w:tc>
          <w:tcPr>
            <w:tcW w:type="dxa" w:w="4200"/>
            <w:tcMar>
              <w:top w:type="dxa" w:w="80"/>
              <w:left w:type="dxa" w:w="100"/>
              <w:bottom w:type="dxa" w:w="80"/>
              <w:right w:type="dxa" w:w="100"/>
            </w:tcMar>
          </w:tcPr>
          <w:p>
            <w:r>
              <w:rPr>
                <w:b w:val="false"/>
                <w:bCs w:val="false"/>
                <w:sz w:val="18"/>
                <w:szCs w:val="18"/>
              </w:rPr>
              <w:t xml:space="preserve">Lightning Web Components auto-escape bound data; Lightning Web Security sandbox enabled</w:t>
            </w:r>
          </w:p>
        </w:tc>
        <w:tc>
          <w:tcPr>
            <w:tcW w:type="dxa" w:w="2600"/>
            <w:tcMar>
              <w:top w:type="dxa" w:w="80"/>
              <w:left w:type="dxa" w:w="100"/>
              <w:bottom w:type="dxa" w:w="80"/>
              <w:right w:type="dxa" w:w="100"/>
            </w:tcMar>
          </w:tcPr>
          <w:p>
            <w:r>
              <w:rPr>
                <w:b w:val="false"/>
                <w:bCs w:val="false"/>
                <w:sz w:val="18"/>
                <w:szCs w:val="18"/>
              </w:rPr>
              <w:t xml:space="preserve">All LWC front-end components; Setup &gt; Session Settings</w:t>
            </w:r>
          </w:p>
        </w:tc>
      </w:tr>
      <w:tr>
        <w:trPr>
          <w:cantSplit/>
        </w:trPr>
        <w:tc>
          <w:tcPr>
            <w:tcW w:type="dxa" w:w="2800"/>
            <w:tcMar>
              <w:top w:type="dxa" w:w="80"/>
              <w:left w:type="dxa" w:w="100"/>
              <w:bottom w:type="dxa" w:w="80"/>
              <w:right w:type="dxa" w:w="100"/>
            </w:tcMar>
          </w:tcPr>
          <w:p>
            <w:r>
              <w:rPr>
                <w:b w:val="false"/>
                <w:bCs w:val="false"/>
                <w:sz w:val="18"/>
                <w:szCs w:val="18"/>
              </w:rPr>
              <w:t xml:space="preserve">SOQL Injection</w:t>
            </w:r>
          </w:p>
        </w:tc>
        <w:tc>
          <w:tcPr>
            <w:tcW w:type="dxa" w:w="4200"/>
            <w:tcMar>
              <w:top w:type="dxa" w:w="80"/>
              <w:left w:type="dxa" w:w="100"/>
              <w:bottom w:type="dxa" w:w="80"/>
              <w:right w:type="dxa" w:w="100"/>
            </w:tcMar>
          </w:tcPr>
          <w:p>
            <w:r>
              <w:rPr>
                <w:b w:val="false"/>
                <w:bCs w:val="false"/>
                <w:sz w:val="18"/>
                <w:szCs w:val="18"/>
              </w:rPr>
              <w:t xml:space="preserve">All queries use bind variables; no dynamic SOQL string concatenation anywhere in the codebase</w:t>
            </w:r>
          </w:p>
        </w:tc>
        <w:tc>
          <w:tcPr>
            <w:tcW w:type="dxa" w:w="2600"/>
            <w:tcMar>
              <w:top w:type="dxa" w:w="80"/>
              <w:left w:type="dxa" w:w="100"/>
              <w:bottom w:type="dxa" w:w="80"/>
              <w:right w:type="dxa" w:w="100"/>
            </w:tcMar>
          </w:tcPr>
          <w:p>
            <w:r>
              <w:rPr>
                <w:b w:val="false"/>
                <w:bCs w:val="false"/>
                <w:sz w:val="18"/>
                <w:szCs w:val="18"/>
              </w:rPr>
              <w:t xml:space="preserve">All Apex controller SOQL queries</w:t>
            </w:r>
          </w:p>
        </w:tc>
      </w:tr>
      <w:tr>
        <w:trPr>
          <w:cantSplit/>
        </w:trPr>
        <w:tc>
          <w:tcPr>
            <w:tcW w:type="dxa" w:w="2800"/>
            <w:tcMar>
              <w:top w:type="dxa" w:w="80"/>
              <w:left w:type="dxa" w:w="100"/>
              <w:bottom w:type="dxa" w:w="80"/>
              <w:right w:type="dxa" w:w="100"/>
            </w:tcMar>
          </w:tcPr>
          <w:p>
            <w:r>
              <w:rPr>
                <w:b w:val="false"/>
                <w:bCs w:val="false"/>
                <w:sz w:val="18"/>
                <w:szCs w:val="18"/>
              </w:rPr>
              <w:t xml:space="preserve">Cross-Site Request Forgery (CSRF)</w:t>
            </w:r>
          </w:p>
        </w:tc>
        <w:tc>
          <w:tcPr>
            <w:tcW w:type="dxa" w:w="4200"/>
            <w:tcMar>
              <w:top w:type="dxa" w:w="80"/>
              <w:left w:type="dxa" w:w="100"/>
              <w:bottom w:type="dxa" w:w="80"/>
              <w:right w:type="dxa" w:w="100"/>
            </w:tcMar>
          </w:tcPr>
          <w:p>
            <w:r>
              <w:rPr>
                <w:b w:val="false"/>
                <w:bCs w:val="false"/>
                <w:sz w:val="18"/>
                <w:szCs w:val="18"/>
              </w:rPr>
              <w:t xml:space="preserve">Platform-enforced CSRF protection on GET and POST requests for non-Setup pages</w:t>
            </w:r>
          </w:p>
        </w:tc>
        <w:tc>
          <w:tcPr>
            <w:tcW w:type="dxa" w:w="2600"/>
            <w:tcMar>
              <w:top w:type="dxa" w:w="80"/>
              <w:left w:type="dxa" w:w="100"/>
              <w:bottom w:type="dxa" w:w="80"/>
              <w:right w:type="dxa" w:w="100"/>
            </w:tcMar>
          </w:tcPr>
          <w:p>
            <w:r>
              <w:rPr>
                <w:b w:val="false"/>
                <w:bCs w:val="false"/>
                <w:sz w:val="18"/>
                <w:szCs w:val="18"/>
              </w:rPr>
              <w:t xml:space="preserve">Setup &gt; Session Settings (platform default, verified)</w:t>
            </w:r>
          </w:p>
        </w:tc>
      </w:tr>
      <w:tr>
        <w:trPr>
          <w:cantSplit/>
        </w:trPr>
        <w:tc>
          <w:tcPr>
            <w:tcW w:type="dxa" w:w="2800"/>
            <w:tcMar>
              <w:top w:type="dxa" w:w="80"/>
              <w:left w:type="dxa" w:w="100"/>
              <w:bottom w:type="dxa" w:w="80"/>
              <w:right w:type="dxa" w:w="100"/>
            </w:tcMar>
          </w:tcPr>
          <w:p>
            <w:r>
              <w:rPr>
                <w:b w:val="false"/>
                <w:bCs w:val="false"/>
                <w:sz w:val="18"/>
                <w:szCs w:val="18"/>
              </w:rPr>
              <w:t xml:space="preserve">Broken Authentication Mitigation</w:t>
            </w:r>
          </w:p>
        </w:tc>
        <w:tc>
          <w:tcPr>
            <w:tcW w:type="dxa" w:w="4200"/>
            <w:tcMar>
              <w:top w:type="dxa" w:w="80"/>
              <w:left w:type="dxa" w:w="100"/>
              <w:bottom w:type="dxa" w:w="80"/>
              <w:right w:type="dxa" w:w="100"/>
            </w:tcMar>
          </w:tcPr>
          <w:p>
            <w:r>
              <w:rPr>
                <w:b w:val="false"/>
                <w:bCs w:val="false"/>
                <w:sz w:val="18"/>
                <w:szCs w:val="18"/>
              </w:rPr>
              <w:t xml:space="preserve">Account lockout after 5 failed attempts (15-minute lockout); MFA; HttpOnly session cookie; session locked to origin domain; 30-minute session timeout</w:t>
            </w:r>
          </w:p>
        </w:tc>
        <w:tc>
          <w:tcPr>
            <w:tcW w:type="dxa" w:w="2600"/>
            <w:tcMar>
              <w:top w:type="dxa" w:w="80"/>
              <w:left w:type="dxa" w:w="100"/>
              <w:bottom w:type="dxa" w:w="80"/>
              <w:right w:type="dxa" w:w="100"/>
            </w:tcMar>
          </w:tcPr>
          <w:p>
            <w:r>
              <w:rPr>
                <w:b w:val="false"/>
                <w:bCs w:val="false"/>
                <w:sz w:val="18"/>
                <w:szCs w:val="18"/>
              </w:rPr>
              <w:t xml:space="preserve">Setup &gt; Password Policies; Setup &gt; Session Settings</w:t>
            </w:r>
          </w:p>
        </w:tc>
      </w:tr>
      <w:tr>
        <w:trPr>
          <w:cantSplit/>
        </w:trPr>
        <w:tc>
          <w:tcPr>
            <w:tcW w:type="dxa" w:w="2800"/>
            <w:tcMar>
              <w:top w:type="dxa" w:w="80"/>
              <w:left w:type="dxa" w:w="100"/>
              <w:bottom w:type="dxa" w:w="80"/>
              <w:right w:type="dxa" w:w="100"/>
            </w:tcMar>
          </w:tcPr>
          <w:p>
            <w:r>
              <w:rPr>
                <w:b w:val="false"/>
                <w:bCs w:val="false"/>
                <w:sz w:val="18"/>
                <w:szCs w:val="18"/>
              </w:rPr>
              <w:t xml:space="preserve">Sensitive Data Exposure</w:t>
            </w:r>
          </w:p>
        </w:tc>
        <w:tc>
          <w:tcPr>
            <w:tcW w:type="dxa" w:w="4200"/>
            <w:tcMar>
              <w:top w:type="dxa" w:w="80"/>
              <w:left w:type="dxa" w:w="100"/>
              <w:bottom w:type="dxa" w:w="80"/>
              <w:right w:type="dxa" w:w="100"/>
            </w:tcMar>
          </w:tcPr>
          <w:p>
            <w:r>
              <w:rPr>
                <w:b w:val="false"/>
                <w:bCs w:val="false"/>
                <w:sz w:val="18"/>
                <w:szCs w:val="18"/>
              </w:rPr>
              <w:t xml:space="preserve">Field-level security audit confirming least-privilege access; Audit Log object fully inaccessible to employees</w:t>
            </w:r>
          </w:p>
        </w:tc>
        <w:tc>
          <w:tcPr>
            <w:tcW w:type="dxa" w:w="2600"/>
            <w:tcMar>
              <w:top w:type="dxa" w:w="80"/>
              <w:left w:type="dxa" w:w="100"/>
              <w:bottom w:type="dxa" w:w="80"/>
              <w:right w:type="dxa" w:w="100"/>
            </w:tcMar>
          </w:tcPr>
          <w:p>
            <w:r>
              <w:rPr>
                <w:b w:val="false"/>
                <w:bCs w:val="false"/>
                <w:sz w:val="18"/>
                <w:szCs w:val="18"/>
              </w:rPr>
              <w:t xml:space="preserve">HR Employee Access permission set field/object permissions</w:t>
            </w:r>
          </w:p>
        </w:tc>
      </w:tr>
      <w:tr>
        <w:trPr>
          <w:cantSplit/>
        </w:trPr>
        <w:tc>
          <w:tcPr>
            <w:tcW w:type="dxa" w:w="2800"/>
            <w:tcMar>
              <w:top w:type="dxa" w:w="80"/>
              <w:left w:type="dxa" w:w="100"/>
              <w:bottom w:type="dxa" w:w="80"/>
              <w:right w:type="dxa" w:w="100"/>
            </w:tcMar>
          </w:tcPr>
          <w:p>
            <w:r>
              <w:rPr>
                <w:b w:val="false"/>
                <w:bCs w:val="false"/>
                <w:sz w:val="18"/>
                <w:szCs w:val="18"/>
              </w:rPr>
              <w:t xml:space="preserve">Audit Logging</w:t>
            </w:r>
          </w:p>
        </w:tc>
        <w:tc>
          <w:tcPr>
            <w:tcW w:type="dxa" w:w="4200"/>
            <w:tcMar>
              <w:top w:type="dxa" w:w="80"/>
              <w:left w:type="dxa" w:w="100"/>
              <w:bottom w:type="dxa" w:w="80"/>
              <w:right w:type="dxa" w:w="100"/>
            </w:tcMar>
          </w:tcPr>
          <w:p>
            <w:r>
              <w:rPr>
                <w:b w:val="false"/>
                <w:bCs w:val="false"/>
                <w:sz w:val="18"/>
                <w:szCs w:val="18"/>
              </w:rPr>
              <w:t xml:space="preserve">Custom Audit_Log__c object and AuditService Apex class logging every significant HR action with fail-safe error handling</w:t>
            </w:r>
          </w:p>
        </w:tc>
        <w:tc>
          <w:tcPr>
            <w:tcW w:type="dxa" w:w="2600"/>
            <w:tcMar>
              <w:top w:type="dxa" w:w="80"/>
              <w:left w:type="dxa" w:w="100"/>
              <w:bottom w:type="dxa" w:w="80"/>
              <w:right w:type="dxa" w:w="100"/>
            </w:tcMar>
          </w:tcPr>
          <w:p>
            <w:r>
              <w:rPr>
                <w:b w:val="false"/>
                <w:bCs w:val="false"/>
                <w:sz w:val="18"/>
                <w:szCs w:val="18"/>
              </w:rPr>
              <w:t xml:space="preserve">AuditService.cls; Audit_Log__c object; Audit Trail admin page</w:t>
            </w:r>
          </w:p>
        </w:tc>
      </w:tr>
      <w:tr>
        <w:trPr>
          <w:cantSplit/>
        </w:trPr>
        <w:tc>
          <w:tcPr>
            <w:tcW w:type="dxa" w:w="2800"/>
            <w:tcMar>
              <w:top w:type="dxa" w:w="80"/>
              <w:left w:type="dxa" w:w="100"/>
              <w:bottom w:type="dxa" w:w="80"/>
              <w:right w:type="dxa" w:w="100"/>
            </w:tcMar>
          </w:tcPr>
          <w:p>
            <w:r>
              <w:rPr>
                <w:b w:val="false"/>
                <w:bCs w:val="false"/>
                <w:sz w:val="18"/>
                <w:szCs w:val="18"/>
              </w:rPr>
              <w:t xml:space="preserve">Standards &amp; Compliance</w:t>
            </w:r>
          </w:p>
        </w:tc>
        <w:tc>
          <w:tcPr>
            <w:tcW w:type="dxa" w:w="4200"/>
            <w:tcMar>
              <w:top w:type="dxa" w:w="80"/>
              <w:left w:type="dxa" w:w="100"/>
              <w:bottom w:type="dxa" w:w="80"/>
              <w:right w:type="dxa" w:w="100"/>
            </w:tcMar>
          </w:tcPr>
          <w:p>
            <w:r>
              <w:rPr>
                <w:b w:val="false"/>
                <w:bCs w:val="false"/>
                <w:sz w:val="18"/>
                <w:szCs w:val="18"/>
              </w:rPr>
              <w:t xml:space="preserve">Design aligned with OWASP Top 10 (2021) risk categories and Salesforce's recommended security baseline</w:t>
            </w:r>
          </w:p>
        </w:tc>
        <w:tc>
          <w:tcPr>
            <w:tcW w:type="dxa" w:w="2600"/>
            <w:tcMar>
              <w:top w:type="dxa" w:w="80"/>
              <w:left w:type="dxa" w:w="100"/>
              <w:bottom w:type="dxa" w:w="80"/>
              <w:right w:type="dxa" w:w="100"/>
            </w:tcMar>
          </w:tcPr>
          <w:p>
            <w:r>
              <w:rPr>
                <w:b w:val="false"/>
                <w:bCs w:val="false"/>
                <w:sz w:val="18"/>
                <w:szCs w:val="18"/>
              </w:rPr>
              <w:t xml:space="preserve">Overall system architecture; see Section 11</w:t>
            </w:r>
          </w:p>
        </w:tc>
      </w:tr>
    </w:tbl>
    <w:p>
      <w:pPr>
        <w:spacing w:before="300"/>
      </w:pPr>
    </w:p>
    <w:p>
      <w:r>
        <w:br w:type="page"/>
      </w:r>
    </w:p>
    <w:p>
      <w:pPr>
        <w:pStyle w:val="Heading1"/>
        <w:spacing w:after="200" w:before="400"/>
      </w:pPr>
      <w:r>
        <w:t xml:space="preserve">14. References</w:t>
      </w:r>
    </w:p>
    <w:p>
      <w:pPr>
        <w:spacing w:after="160"/>
      </w:pPr>
      <w:r>
        <w:t xml:space="preserve">OWASP Foundation (2021) OWASP Top 10:2021. Available at: https://owasp.org/Top10/ (Accessed: 4 October 2026).</w:t>
      </w:r>
    </w:p>
    <w:p>
      <w:pPr>
        <w:spacing w:after="160"/>
      </w:pPr>
      <w:r>
        <w:t xml:space="preserve">Salesforce (2026) Salesforce Security Guide. Available at: https://help.salesforce.com/s/articleView?id=sf.security_overview.htm (Accessed: 4 October 2026).</w:t>
      </w:r>
    </w:p>
    <w:p>
      <w:pPr>
        <w:spacing w:after="160"/>
      </w:pPr>
      <w:r>
        <w:t xml:space="preserve">Salesforce (2026) Enforcing User Mode for Database Operations. Available at: https://developer.salesforce.com/docs/atlas.en-us.apexcode.meta/apexcode/apex_classes_user_mode.htm (Accessed: 4 October 2026).</w:t>
      </w:r>
    </w:p>
    <w:p>
      <w:pPr>
        <w:spacing w:after="160"/>
      </w:pPr>
      <w:r>
        <w:t xml:space="preserve">Salesforce (2026) Lightning Web Security. Available at: https://developer.salesforce.com/docs/platform/lwc/guide/security-lwsec.html (Accessed: 4 October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2026-10-04T09:54:34.850Z</dcterms:created>
  <dcterms:modified xsi:type="dcterms:W3CDTF">2026-10-04T09:54:34.850Z</dcterms:modified>
</cp:coreProperties>
</file>

<file path=docProps/custom.xml><?xml version="1.0" encoding="utf-8"?>
<Properties xmlns="http://schemas.openxmlformats.org/officeDocument/2006/custom-properties" xmlns:vt="http://schemas.openxmlformats.org/officeDocument/2006/docPropsVTypes"/>
</file>