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51" w:rsidRDefault="000722A3" w:rsidP="007D55FD">
      <w:pPr>
        <w:pStyle w:val="1"/>
      </w:pPr>
      <w:r>
        <w:t>Типы рыночных структур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722A3" w:rsidTr="000722A3">
        <w:trPr>
          <w:jc w:val="center"/>
        </w:trPr>
        <w:tc>
          <w:tcPr>
            <w:tcW w:w="2152" w:type="dxa"/>
            <w:vMerge w:val="restart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Параметр</w:t>
            </w:r>
          </w:p>
        </w:tc>
        <w:tc>
          <w:tcPr>
            <w:tcW w:w="2152" w:type="dxa"/>
            <w:vMerge w:val="restart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Рынки совершенной конкуренции</w:t>
            </w:r>
          </w:p>
        </w:tc>
        <w:tc>
          <w:tcPr>
            <w:tcW w:w="6458" w:type="dxa"/>
            <w:gridSpan w:val="3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Рынки несовершенной конкуренции</w:t>
            </w:r>
          </w:p>
        </w:tc>
      </w:tr>
      <w:tr w:rsidR="000722A3" w:rsidTr="000722A3">
        <w:trPr>
          <w:jc w:val="center"/>
        </w:trPr>
        <w:tc>
          <w:tcPr>
            <w:tcW w:w="2152" w:type="dxa"/>
            <w:vMerge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152" w:type="dxa"/>
            <w:vMerge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152" w:type="dxa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Монополистическая конкуренция</w:t>
            </w:r>
          </w:p>
        </w:tc>
        <w:tc>
          <w:tcPr>
            <w:tcW w:w="2153" w:type="dxa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Олигополия</w:t>
            </w:r>
          </w:p>
        </w:tc>
        <w:tc>
          <w:tcPr>
            <w:tcW w:w="2153" w:type="dxa"/>
            <w:vAlign w:val="center"/>
          </w:tcPr>
          <w:p w:rsidR="000722A3" w:rsidRPr="004E5A83" w:rsidRDefault="000722A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4E5A83">
              <w:rPr>
                <w:sz w:val="20"/>
              </w:rPr>
              <w:t>Монополия</w:t>
            </w:r>
          </w:p>
        </w:tc>
      </w:tr>
      <w:tr w:rsidR="004E5A83" w:rsidTr="005A638F">
        <w:trPr>
          <w:jc w:val="center"/>
        </w:trPr>
        <w:tc>
          <w:tcPr>
            <w:tcW w:w="2152" w:type="dxa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Численность покупателей</w:t>
            </w:r>
          </w:p>
        </w:tc>
        <w:tc>
          <w:tcPr>
            <w:tcW w:w="8610" w:type="dxa"/>
            <w:gridSpan w:val="4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Большое число покупателей</w:t>
            </w:r>
          </w:p>
        </w:tc>
      </w:tr>
      <w:tr w:rsidR="000722A3" w:rsidTr="000722A3">
        <w:trPr>
          <w:jc w:val="center"/>
        </w:trPr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Численность продавцов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Очень большое число продавцов, владеющих небольшой долей рынка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Большое число продавцов, владеющих незначительной долей рынка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Несколько крупных продавцов, владеющих крупной долей рынка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Один крупный продавец</w:t>
            </w:r>
          </w:p>
        </w:tc>
      </w:tr>
      <w:tr w:rsidR="000722A3" w:rsidTr="000722A3">
        <w:trPr>
          <w:jc w:val="center"/>
        </w:trPr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Тип продукции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Стандартизированная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Как стандартизированная, так и дифференцированная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Дифференцированная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Продукт уникален</w:t>
            </w:r>
          </w:p>
        </w:tc>
      </w:tr>
      <w:tr w:rsidR="000722A3" w:rsidTr="000722A3">
        <w:trPr>
          <w:jc w:val="center"/>
        </w:trPr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Барьеры входа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Практически отсутствуют или незначительны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Практически отсутствуют или незначительны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Высокие входные барьеры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Вход в отрасль блокирован</w:t>
            </w:r>
          </w:p>
        </w:tc>
      </w:tr>
      <w:tr w:rsidR="004E5A83" w:rsidTr="002F686F">
        <w:trPr>
          <w:jc w:val="center"/>
        </w:trPr>
        <w:tc>
          <w:tcPr>
            <w:tcW w:w="2152" w:type="dxa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Барьеры выхода</w:t>
            </w:r>
          </w:p>
        </w:tc>
        <w:tc>
          <w:tcPr>
            <w:tcW w:w="2152" w:type="dxa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Практически отсутствуют</w:t>
            </w:r>
          </w:p>
        </w:tc>
        <w:tc>
          <w:tcPr>
            <w:tcW w:w="2152" w:type="dxa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Практичес</w:t>
            </w:r>
            <w:r>
              <w:rPr>
                <w:sz w:val="20"/>
              </w:rPr>
              <w:t>ки отсутствуют или легкие</w:t>
            </w:r>
          </w:p>
        </w:tc>
        <w:tc>
          <w:tcPr>
            <w:tcW w:w="4306" w:type="dxa"/>
            <w:gridSpan w:val="2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Высокие выходные барьеры</w:t>
            </w:r>
          </w:p>
        </w:tc>
      </w:tr>
      <w:tr w:rsidR="004E5A83" w:rsidTr="0057318A">
        <w:trPr>
          <w:jc w:val="center"/>
        </w:trPr>
        <w:tc>
          <w:tcPr>
            <w:tcW w:w="2152" w:type="dxa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Информация</w:t>
            </w:r>
          </w:p>
        </w:tc>
        <w:tc>
          <w:tcPr>
            <w:tcW w:w="4304" w:type="dxa"/>
            <w:gridSpan w:val="2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Предоставляется всем участникам рынка</w:t>
            </w:r>
          </w:p>
        </w:tc>
        <w:tc>
          <w:tcPr>
            <w:tcW w:w="4306" w:type="dxa"/>
            <w:gridSpan w:val="2"/>
            <w:vAlign w:val="center"/>
          </w:tcPr>
          <w:p w:rsidR="004E5A8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Информация не доступна другим участникам рынка</w:t>
            </w:r>
          </w:p>
        </w:tc>
      </w:tr>
      <w:tr w:rsidR="000722A3" w:rsidTr="000722A3">
        <w:trPr>
          <w:jc w:val="center"/>
        </w:trPr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Примеры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Производители с/х продукции</w:t>
            </w:r>
          </w:p>
        </w:tc>
        <w:tc>
          <w:tcPr>
            <w:tcW w:w="2152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Парикмахерские, ателье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Сотовые операторы</w:t>
            </w:r>
          </w:p>
        </w:tc>
        <w:tc>
          <w:tcPr>
            <w:tcW w:w="2153" w:type="dxa"/>
            <w:vAlign w:val="center"/>
          </w:tcPr>
          <w:p w:rsidR="000722A3" w:rsidRPr="004E5A83" w:rsidRDefault="004E5A83" w:rsidP="000722A3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Газпром, РЖД</w:t>
            </w:r>
          </w:p>
        </w:tc>
      </w:tr>
    </w:tbl>
    <w:p w:rsidR="00100DAF" w:rsidRDefault="00100DAF" w:rsidP="00100DAF">
      <w:pPr>
        <w:pStyle w:val="1"/>
      </w:pPr>
      <w:r>
        <w:t>Макроэкономика</w:t>
      </w:r>
    </w:p>
    <w:p w:rsidR="00100DAF" w:rsidRDefault="00100DAF" w:rsidP="00100DAF">
      <w:pPr>
        <w:pStyle w:val="a0"/>
      </w:pPr>
      <w:r>
        <w:t xml:space="preserve">Появилась в 20-30г. 20 века. Особое внимание уделяет роли государства. </w:t>
      </w:r>
      <w:r w:rsidRPr="00100DAF">
        <w:rPr>
          <w:b/>
        </w:rPr>
        <w:t>Главная цель</w:t>
      </w:r>
      <w:r w:rsidRPr="00100DAF">
        <w:t xml:space="preserve"> </w:t>
      </w:r>
      <w:r>
        <w:t>–</w:t>
      </w:r>
      <w:r w:rsidRPr="00100DAF">
        <w:t xml:space="preserve"> </w:t>
      </w:r>
      <w:r>
        <w:t xml:space="preserve">исследование макроэкономических процессов, закономерностей их проявления и взаимозависимости с точки зрения обеспечения условий устойчивого экономического роста, полной занятости ресурсов и минимизации уровня инфляции. Изучает </w:t>
      </w:r>
      <w:r w:rsidRPr="00100DAF">
        <w:rPr>
          <w:b/>
        </w:rPr>
        <w:t>агрегированные показатели</w:t>
      </w:r>
      <w:r>
        <w:t xml:space="preserve"> – совокупный спрос, совокупное предложение, общий уровень цен, занятость и инфляционные процессы.</w:t>
      </w:r>
    </w:p>
    <w:p w:rsidR="00100DAF" w:rsidRDefault="00100DAF" w:rsidP="00100DAF">
      <w:pPr>
        <w:pStyle w:val="a0"/>
      </w:pPr>
      <w:r>
        <w:t>Национальная экономика – совокупность всех экономических процессов, совершающихся в обществе на основе действующих в нем отношений собственности и организационных форм хозяйствования, т.е. это экономическая деятельность всех хозяйственных субъектов в масштабе государства, направленная на удовлетворение потребностей нации.</w:t>
      </w:r>
      <w:r w:rsidR="00BF5659">
        <w:t xml:space="preserve"> В национальном хозяйстве выделяют 4 экономических субъекта: </w:t>
      </w:r>
    </w:p>
    <w:p w:rsidR="00BF5659" w:rsidRDefault="00BF5659" w:rsidP="00BF5659">
      <w:pPr>
        <w:pStyle w:val="a0"/>
        <w:numPr>
          <w:ilvl w:val="0"/>
          <w:numId w:val="26"/>
        </w:numPr>
      </w:pPr>
      <w:r>
        <w:t>Сектор домашних хозяйств (домохозяйства)</w:t>
      </w:r>
    </w:p>
    <w:p w:rsidR="00BF5659" w:rsidRDefault="00BF5659" w:rsidP="00BF5659">
      <w:pPr>
        <w:pStyle w:val="a0"/>
        <w:numPr>
          <w:ilvl w:val="0"/>
          <w:numId w:val="26"/>
        </w:numPr>
      </w:pPr>
      <w:r>
        <w:t>Предпринимательский сектор (фирмы, бизнес)</w:t>
      </w:r>
    </w:p>
    <w:p w:rsidR="00BF5659" w:rsidRDefault="00BF5659" w:rsidP="00BF5659">
      <w:pPr>
        <w:pStyle w:val="a0"/>
        <w:numPr>
          <w:ilvl w:val="0"/>
          <w:numId w:val="26"/>
        </w:numPr>
      </w:pPr>
      <w:r>
        <w:t>Государственный сектор (государство)</w:t>
      </w:r>
    </w:p>
    <w:p w:rsidR="00BF5659" w:rsidRDefault="00893468" w:rsidP="00BF5659">
      <w:pPr>
        <w:pStyle w:val="a0"/>
        <w:numPr>
          <w:ilvl w:val="0"/>
          <w:numId w:val="26"/>
        </w:numPr>
      </w:pPr>
      <w:r w:rsidRPr="0089346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9DBAF1F" wp14:editId="3BDA1CE4">
            <wp:simplePos x="0" y="0"/>
            <wp:positionH relativeFrom="column">
              <wp:posOffset>336550</wp:posOffset>
            </wp:positionH>
            <wp:positionV relativeFrom="paragraph">
              <wp:posOffset>392430</wp:posOffset>
            </wp:positionV>
            <wp:extent cx="6236970" cy="2489200"/>
            <wp:effectExtent l="0" t="0" r="0" b="6350"/>
            <wp:wrapSquare wrapText="bothSides"/>
            <wp:docPr id="2" name="Рисунок 2" descr="C:\Users\Borsch\Desktop\241096_html_m6059f3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sch\Desktop\241096_html_m6059f36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659">
        <w:t>Иностранный сектор (международные отношения)</w:t>
      </w:r>
    </w:p>
    <w:p w:rsidR="005E0CBB" w:rsidRDefault="005E0CBB" w:rsidP="005E0CBB">
      <w:pPr>
        <w:pStyle w:val="1"/>
      </w:pPr>
      <w:r>
        <w:lastRenderedPageBreak/>
        <w:t>Основные макроэкономические показатели</w:t>
      </w:r>
    </w:p>
    <w:p w:rsidR="00893468" w:rsidRDefault="00C03299" w:rsidP="00C03299">
      <w:pPr>
        <w:pStyle w:val="a0"/>
        <w:numPr>
          <w:ilvl w:val="0"/>
          <w:numId w:val="27"/>
        </w:numPr>
      </w:pPr>
      <w:r w:rsidRPr="00C03299">
        <w:rPr>
          <w:b/>
        </w:rPr>
        <w:t>Валовой внутренний продукт (ВВП)</w:t>
      </w:r>
      <w:r w:rsidRPr="00C03299">
        <w:t xml:space="preserve"> </w:t>
      </w:r>
      <w:r>
        <w:t>–</w:t>
      </w:r>
      <w:r w:rsidRPr="00C03299">
        <w:t xml:space="preserve"> </w:t>
      </w:r>
      <w:r>
        <w:t>рыночная стоимость всех конечных товаров и услуг, произведенных для потребления на территории данной страны за определенный промежуток времени (обычно за год) всеми производителями независимо от национальной принадлежности капитала.</w:t>
      </w:r>
    </w:p>
    <w:p w:rsidR="00C03299" w:rsidRDefault="00C03299" w:rsidP="00C03299">
      <w:pPr>
        <w:pStyle w:val="a0"/>
        <w:numPr>
          <w:ilvl w:val="0"/>
          <w:numId w:val="27"/>
        </w:numPr>
      </w:pPr>
      <w:r>
        <w:rPr>
          <w:b/>
        </w:rPr>
        <w:t>Валовой национальный продукт (ВНП)</w:t>
      </w:r>
      <w:r>
        <w:t xml:space="preserve"> – рыночная стоимость всех конечных товаров и услуг, произведенных и реализованных национальным капиталом как внутри данной страны, так и за ее пределами за определенный промежуток времени (обычно за год).</w:t>
      </w:r>
    </w:p>
    <w:p w:rsidR="00C03299" w:rsidRDefault="00C03299" w:rsidP="00C03299">
      <w:pPr>
        <w:pStyle w:val="a0"/>
      </w:pPr>
      <w:r>
        <w:t>ВНП=ВВП – продукция, произведенная на территории данной страны иностранными факторами производства + продукция, произведенная отечественными факторами производства за рубежом.</w:t>
      </w:r>
    </w:p>
    <w:p w:rsidR="00AF015C" w:rsidRDefault="00AF015C" w:rsidP="00C03299">
      <w:pPr>
        <w:pStyle w:val="a0"/>
      </w:pPr>
      <w:r>
        <w:t>При расчете ВВП в его величину не включают:</w:t>
      </w:r>
    </w:p>
    <w:p w:rsidR="00AF015C" w:rsidRDefault="00AF015C" w:rsidP="00AF015C">
      <w:pPr>
        <w:pStyle w:val="a0"/>
        <w:numPr>
          <w:ilvl w:val="0"/>
          <w:numId w:val="28"/>
        </w:numPr>
      </w:pPr>
      <w:r>
        <w:t>Стоимость финансовых сделок</w:t>
      </w:r>
    </w:p>
    <w:p w:rsidR="00AF015C" w:rsidRDefault="00AF015C" w:rsidP="00AF015C">
      <w:pPr>
        <w:pStyle w:val="a0"/>
        <w:numPr>
          <w:ilvl w:val="0"/>
          <w:numId w:val="28"/>
        </w:numPr>
      </w:pPr>
      <w:r>
        <w:t>Стоимость подержанных товаров, антиквариата</w:t>
      </w:r>
    </w:p>
    <w:p w:rsidR="00AF015C" w:rsidRDefault="00AF015C" w:rsidP="00AF015C">
      <w:pPr>
        <w:pStyle w:val="a0"/>
        <w:numPr>
          <w:ilvl w:val="0"/>
          <w:numId w:val="28"/>
        </w:numPr>
      </w:pPr>
      <w:r>
        <w:t>Государственные и частные трансферты</w:t>
      </w:r>
    </w:p>
    <w:p w:rsidR="00AF015C" w:rsidRDefault="00AF015C" w:rsidP="00AF015C">
      <w:pPr>
        <w:pStyle w:val="2"/>
        <w:ind w:firstLine="0"/>
        <w:jc w:val="center"/>
      </w:pPr>
      <w:r>
        <w:t>Способы исчисления ВВП</w:t>
      </w:r>
    </w:p>
    <w:p w:rsidR="00AF015C" w:rsidRDefault="00AF015C" w:rsidP="00AF015C">
      <w:pPr>
        <w:pStyle w:val="a0"/>
        <w:numPr>
          <w:ilvl w:val="0"/>
          <w:numId w:val="29"/>
        </w:numPr>
      </w:pPr>
      <w:r>
        <w:t>По расходам.</w:t>
      </w:r>
      <w:r w:rsidR="00074C01" w:rsidRPr="00074C01">
        <w:t xml:space="preserve"> </w:t>
      </w:r>
      <w:r w:rsidR="00074C01">
        <w:t>Основное макроэкономическое тождество:</w:t>
      </w:r>
      <w:r>
        <w:t xml:space="preserve"> </w:t>
      </w:r>
      <m:oMath>
        <m:r>
          <w:rPr>
            <w:rFonts w:ascii="Cambria Math" w:hAnsi="Cambria Math"/>
          </w:rPr>
          <m:t>ВВП=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Im</m:t>
        </m:r>
      </m:oMath>
      <w:r w:rsidRPr="00074C01">
        <w:rPr>
          <w:rFonts w:eastAsiaTheme="minorEastAsia"/>
        </w:rPr>
        <w:t>.</w:t>
      </w:r>
      <w:r w:rsidR="00074C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074C01" w:rsidRPr="00074C01">
        <w:rPr>
          <w:rFonts w:eastAsiaTheme="minorEastAsia"/>
        </w:rPr>
        <w:t xml:space="preserve"> – </w:t>
      </w:r>
      <w:r w:rsidR="00074C01">
        <w:rPr>
          <w:rFonts w:eastAsiaTheme="minorEastAsia"/>
        </w:rPr>
        <w:t xml:space="preserve">расходы домохозяйств (потребительские расходы), расходы на отпуск, не включают расходы на покупку крупной недвижимости. </w:t>
      </w:r>
      <m:oMath>
        <m:r>
          <w:rPr>
            <w:rFonts w:ascii="Cambria Math" w:eastAsiaTheme="minorEastAsia" w:hAnsi="Cambria Math"/>
          </w:rPr>
          <m:t>G</m:t>
        </m:r>
      </m:oMath>
      <w:r w:rsidR="00074C01" w:rsidRPr="00074C01">
        <w:rPr>
          <w:rFonts w:eastAsiaTheme="minorEastAsia"/>
        </w:rPr>
        <w:t xml:space="preserve"> – </w:t>
      </w:r>
      <w:r w:rsidR="00074C01">
        <w:rPr>
          <w:rFonts w:eastAsiaTheme="minorEastAsia"/>
        </w:rPr>
        <w:t xml:space="preserve">государственные закупки товаров и услуг (армия, здравоохранение, …), </w:t>
      </w:r>
      <m:oMath>
        <m:r>
          <w:rPr>
            <w:rFonts w:ascii="Cambria Math" w:eastAsiaTheme="minorEastAsia" w:hAnsi="Cambria Math"/>
          </w:rPr>
          <m:t>I</m:t>
        </m:r>
      </m:oMath>
      <w:r w:rsidR="00074C01" w:rsidRPr="00074C01">
        <w:rPr>
          <w:rFonts w:eastAsiaTheme="minorEastAsia"/>
        </w:rPr>
        <w:t xml:space="preserve"> – </w:t>
      </w:r>
      <w:r w:rsidR="00074C01">
        <w:rPr>
          <w:rFonts w:eastAsiaTheme="minorEastAsia"/>
        </w:rPr>
        <w:t>инвестиционные расходы фирм на покупку недвижимости, машин, сырья, строительство, т.е. расходы на замещение выбывающего капитала (амортизация).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74C01" w:rsidRPr="00074C01">
        <w:rPr>
          <w:rFonts w:eastAsiaTheme="minorEastAsia"/>
        </w:rPr>
        <w:t xml:space="preserve"> </w:t>
      </w:r>
      <w:r w:rsidR="00074C01">
        <w:rPr>
          <w:rFonts w:eastAsiaTheme="minorEastAsia"/>
          <w:lang w:val="en-US"/>
        </w:rPr>
        <w:t xml:space="preserve">– </w:t>
      </w:r>
      <w:r w:rsidR="00074C01">
        <w:rPr>
          <w:rFonts w:eastAsiaTheme="minorEastAsia"/>
        </w:rPr>
        <w:t>чистый экспорт товаров и услуг за рубеж.</w:t>
      </w:r>
    </w:p>
    <w:p w:rsidR="00AF015C" w:rsidRDefault="00AF015C" w:rsidP="00AF015C">
      <w:pPr>
        <w:pStyle w:val="a0"/>
        <w:numPr>
          <w:ilvl w:val="0"/>
          <w:numId w:val="29"/>
        </w:numPr>
      </w:pPr>
      <w:r>
        <w:t>По доходам</w:t>
      </w:r>
      <w:r w:rsidR="00B53D58">
        <w:t xml:space="preserve"> – суммируются все виды доходов от продажи факторов производства: заработная плата, рента, доходы мелких собственников, прибыль корпораций, проценты на капитал, амортизационные отчисления, которые из дохода фирмы поступают обратно в процесс производства, налоги на предпринимательскую деятельность.</w:t>
      </w:r>
    </w:p>
    <w:p w:rsidR="00AF015C" w:rsidRDefault="00AF015C" w:rsidP="00AF015C">
      <w:pPr>
        <w:pStyle w:val="a0"/>
        <w:numPr>
          <w:ilvl w:val="0"/>
          <w:numId w:val="29"/>
        </w:numPr>
      </w:pPr>
      <w:r>
        <w:t>По добавленной стоимости</w:t>
      </w:r>
      <w:r w:rsidR="00F1677A">
        <w:t xml:space="preserve"> – суммируется добавленная стоимость на каждой стадии производства конечного продукта во всех отраслях национальной экономики.</w:t>
      </w:r>
    </w:p>
    <w:p w:rsidR="00F1677A" w:rsidRPr="00D31DB7" w:rsidRDefault="00F1677A" w:rsidP="00F1677A">
      <w:pPr>
        <w:pStyle w:val="a0"/>
      </w:pPr>
      <w:r>
        <w:rPr>
          <w:b/>
        </w:rPr>
        <w:t>Дефлятор ВВП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номин</m:t>
                </m:r>
              </m:sub>
            </m:sSub>
            <m:r>
              <w:rPr>
                <w:rFonts w:ascii="Cambria Math" w:hAnsi="Cambria Math"/>
              </w:rPr>
              <m:t xml:space="preserve"> (текущий год)</m:t>
            </m:r>
          </m:num>
          <m:den>
            <m:r>
              <w:rPr>
                <w:rFonts w:ascii="Cambria Math" w:hAnsi="Cambria Math"/>
              </w:rPr>
              <m:t>ВВ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реальн</m:t>
                </m:r>
              </m:sub>
            </m:sSub>
            <m:r>
              <w:rPr>
                <w:rFonts w:ascii="Cambria Math" w:hAnsi="Cambria Math"/>
              </w:rPr>
              <m:t xml:space="preserve"> (базисный год)</m:t>
            </m:r>
          </m:den>
        </m:f>
      </m:oMath>
      <w:r>
        <w:rPr>
          <w:rFonts w:eastAsiaTheme="minorEastAsia"/>
        </w:rPr>
        <w:t>.</w:t>
      </w:r>
      <w:r w:rsidR="00D31DB7">
        <w:rPr>
          <w:rFonts w:eastAsiaTheme="minorEastAsia"/>
        </w:rPr>
        <w:t xml:space="preserve"> Для населения больший интерес представляет потребительская корзина. </w:t>
      </w:r>
      <w:r w:rsidR="00D31DB7">
        <w:rPr>
          <w:rFonts w:eastAsiaTheme="minorEastAsia"/>
          <w:b/>
        </w:rPr>
        <w:t xml:space="preserve">Индекс потребительских цен (ИПЦ)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цены потребительской корзины в текущем году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цены потребительской корзины в базисном году</m:t>
            </m:r>
          </m:den>
        </m:f>
      </m:oMath>
      <w:r w:rsidR="00D31DB7">
        <w:rPr>
          <w:rFonts w:eastAsiaTheme="minorEastAsia"/>
        </w:rPr>
        <w:t xml:space="preserve">. </w:t>
      </w:r>
      <w:r w:rsidR="00D31DB7">
        <w:rPr>
          <w:rFonts w:eastAsiaTheme="minorEastAsia"/>
          <w:b/>
        </w:rPr>
        <w:t>Потенциальный ВВП</w:t>
      </w:r>
      <w:r w:rsidR="00D31DB7">
        <w:rPr>
          <w:rFonts w:eastAsiaTheme="minorEastAsia"/>
        </w:rPr>
        <w:t xml:space="preserve"> – ВВП, рассчитанный для уровня полной занятости населения.</w:t>
      </w:r>
      <w:bookmarkStart w:id="0" w:name="_GoBack"/>
      <w:bookmarkEnd w:id="0"/>
    </w:p>
    <w:sectPr w:rsidR="00F1677A" w:rsidRPr="00D31DB7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50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7FE3"/>
    <w:multiLevelType w:val="hybridMultilevel"/>
    <w:tmpl w:val="EF40266C"/>
    <w:lvl w:ilvl="0" w:tplc="856E6C7A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7C3B"/>
    <w:multiLevelType w:val="hybridMultilevel"/>
    <w:tmpl w:val="570E4D4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AA0B7F"/>
    <w:multiLevelType w:val="hybridMultilevel"/>
    <w:tmpl w:val="12F838C0"/>
    <w:lvl w:ilvl="0" w:tplc="F56249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1B7809"/>
    <w:multiLevelType w:val="hybridMultilevel"/>
    <w:tmpl w:val="821CF2A2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C6640C"/>
    <w:multiLevelType w:val="hybridMultilevel"/>
    <w:tmpl w:val="5D3E74F0"/>
    <w:lvl w:ilvl="0" w:tplc="D87A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9346F7"/>
    <w:multiLevelType w:val="hybridMultilevel"/>
    <w:tmpl w:val="05B6847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5A180F"/>
    <w:multiLevelType w:val="hybridMultilevel"/>
    <w:tmpl w:val="74344FE8"/>
    <w:lvl w:ilvl="0" w:tplc="12C0C2DE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172A5"/>
    <w:multiLevelType w:val="hybridMultilevel"/>
    <w:tmpl w:val="F66895E6"/>
    <w:lvl w:ilvl="0" w:tplc="E466A3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395676"/>
    <w:multiLevelType w:val="hybridMultilevel"/>
    <w:tmpl w:val="90208D76"/>
    <w:lvl w:ilvl="0" w:tplc="04190011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D1F7DF6"/>
    <w:multiLevelType w:val="hybridMultilevel"/>
    <w:tmpl w:val="05B6847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3E188D"/>
    <w:multiLevelType w:val="hybridMultilevel"/>
    <w:tmpl w:val="3FF048BA"/>
    <w:lvl w:ilvl="0" w:tplc="922406B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28106A6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7845AB0"/>
    <w:multiLevelType w:val="hybridMultilevel"/>
    <w:tmpl w:val="96604850"/>
    <w:lvl w:ilvl="0" w:tplc="22D0EF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975131"/>
    <w:multiLevelType w:val="hybridMultilevel"/>
    <w:tmpl w:val="72D85B7C"/>
    <w:lvl w:ilvl="0" w:tplc="602867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BC9116D"/>
    <w:multiLevelType w:val="hybridMultilevel"/>
    <w:tmpl w:val="E7624046"/>
    <w:lvl w:ilvl="0" w:tplc="3378E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A5704DE"/>
    <w:multiLevelType w:val="hybridMultilevel"/>
    <w:tmpl w:val="2D043FCA"/>
    <w:lvl w:ilvl="0" w:tplc="50180D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B604D17"/>
    <w:multiLevelType w:val="hybridMultilevel"/>
    <w:tmpl w:val="8B0E0788"/>
    <w:lvl w:ilvl="0" w:tplc="C292F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E721144"/>
    <w:multiLevelType w:val="hybridMultilevel"/>
    <w:tmpl w:val="175C99B2"/>
    <w:lvl w:ilvl="0" w:tplc="D2F23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7543C9A"/>
    <w:multiLevelType w:val="hybridMultilevel"/>
    <w:tmpl w:val="9314F2FE"/>
    <w:lvl w:ilvl="0" w:tplc="28F83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7A4890"/>
    <w:multiLevelType w:val="hybridMultilevel"/>
    <w:tmpl w:val="BCB01C6C"/>
    <w:lvl w:ilvl="0" w:tplc="6BBA2F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6"/>
  </w:num>
  <w:num w:numId="5">
    <w:abstractNumId w:val="6"/>
  </w:num>
  <w:num w:numId="6">
    <w:abstractNumId w:val="12"/>
  </w:num>
  <w:num w:numId="7">
    <w:abstractNumId w:val="19"/>
  </w:num>
  <w:num w:numId="8">
    <w:abstractNumId w:val="3"/>
  </w:num>
  <w:num w:numId="9">
    <w:abstractNumId w:val="4"/>
  </w:num>
  <w:num w:numId="10">
    <w:abstractNumId w:val="16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27"/>
  </w:num>
  <w:num w:numId="16">
    <w:abstractNumId w:val="22"/>
  </w:num>
  <w:num w:numId="17">
    <w:abstractNumId w:val="7"/>
  </w:num>
  <w:num w:numId="18">
    <w:abstractNumId w:val="5"/>
  </w:num>
  <w:num w:numId="19">
    <w:abstractNumId w:val="2"/>
  </w:num>
  <w:num w:numId="20">
    <w:abstractNumId w:val="17"/>
  </w:num>
  <w:num w:numId="21">
    <w:abstractNumId w:val="8"/>
  </w:num>
  <w:num w:numId="22">
    <w:abstractNumId w:val="13"/>
  </w:num>
  <w:num w:numId="23">
    <w:abstractNumId w:val="15"/>
  </w:num>
  <w:num w:numId="24">
    <w:abstractNumId w:val="20"/>
  </w:num>
  <w:num w:numId="25">
    <w:abstractNumId w:val="10"/>
  </w:num>
  <w:num w:numId="26">
    <w:abstractNumId w:val="25"/>
  </w:num>
  <w:num w:numId="27">
    <w:abstractNumId w:val="18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53C76"/>
    <w:rsid w:val="00061633"/>
    <w:rsid w:val="000722A3"/>
    <w:rsid w:val="00074C01"/>
    <w:rsid w:val="00086212"/>
    <w:rsid w:val="00086BFD"/>
    <w:rsid w:val="0009559C"/>
    <w:rsid w:val="000A10C4"/>
    <w:rsid w:val="000A2C3C"/>
    <w:rsid w:val="000D33AF"/>
    <w:rsid w:val="000E020B"/>
    <w:rsid w:val="00100DAF"/>
    <w:rsid w:val="001027BB"/>
    <w:rsid w:val="001049B1"/>
    <w:rsid w:val="0011308F"/>
    <w:rsid w:val="001130CB"/>
    <w:rsid w:val="00115B51"/>
    <w:rsid w:val="00131A87"/>
    <w:rsid w:val="00133C3C"/>
    <w:rsid w:val="00140406"/>
    <w:rsid w:val="00152295"/>
    <w:rsid w:val="00160B71"/>
    <w:rsid w:val="00183B28"/>
    <w:rsid w:val="001A6607"/>
    <w:rsid w:val="001B64B2"/>
    <w:rsid w:val="001D1FA1"/>
    <w:rsid w:val="001F3C18"/>
    <w:rsid w:val="00206111"/>
    <w:rsid w:val="00207518"/>
    <w:rsid w:val="002345ED"/>
    <w:rsid w:val="002409B9"/>
    <w:rsid w:val="00240B46"/>
    <w:rsid w:val="00275010"/>
    <w:rsid w:val="00301F32"/>
    <w:rsid w:val="003029C7"/>
    <w:rsid w:val="003127C9"/>
    <w:rsid w:val="00312CEF"/>
    <w:rsid w:val="00323B68"/>
    <w:rsid w:val="00327A33"/>
    <w:rsid w:val="003302FA"/>
    <w:rsid w:val="003406B0"/>
    <w:rsid w:val="00344557"/>
    <w:rsid w:val="00357034"/>
    <w:rsid w:val="00371D5F"/>
    <w:rsid w:val="00382DD9"/>
    <w:rsid w:val="0039098C"/>
    <w:rsid w:val="003C14A2"/>
    <w:rsid w:val="00401F7B"/>
    <w:rsid w:val="004116CA"/>
    <w:rsid w:val="0041191B"/>
    <w:rsid w:val="004153AD"/>
    <w:rsid w:val="00430337"/>
    <w:rsid w:val="00430620"/>
    <w:rsid w:val="0043237D"/>
    <w:rsid w:val="00436768"/>
    <w:rsid w:val="00441242"/>
    <w:rsid w:val="0044680E"/>
    <w:rsid w:val="004542AA"/>
    <w:rsid w:val="00465FA4"/>
    <w:rsid w:val="00477966"/>
    <w:rsid w:val="004932F6"/>
    <w:rsid w:val="004B3F5B"/>
    <w:rsid w:val="004B5314"/>
    <w:rsid w:val="004B6F27"/>
    <w:rsid w:val="004D0889"/>
    <w:rsid w:val="004E06E1"/>
    <w:rsid w:val="004E5A83"/>
    <w:rsid w:val="004E7328"/>
    <w:rsid w:val="004F5024"/>
    <w:rsid w:val="00504820"/>
    <w:rsid w:val="005244EE"/>
    <w:rsid w:val="00542CCC"/>
    <w:rsid w:val="005600D1"/>
    <w:rsid w:val="00562ABA"/>
    <w:rsid w:val="00565362"/>
    <w:rsid w:val="00582135"/>
    <w:rsid w:val="005A0FEE"/>
    <w:rsid w:val="005B05DC"/>
    <w:rsid w:val="005C0E2D"/>
    <w:rsid w:val="005C4085"/>
    <w:rsid w:val="005C51EC"/>
    <w:rsid w:val="005E0CBB"/>
    <w:rsid w:val="006151A2"/>
    <w:rsid w:val="006158BD"/>
    <w:rsid w:val="00616F7E"/>
    <w:rsid w:val="00646B08"/>
    <w:rsid w:val="00693BB9"/>
    <w:rsid w:val="0069449E"/>
    <w:rsid w:val="00694999"/>
    <w:rsid w:val="006C0536"/>
    <w:rsid w:val="006C0D65"/>
    <w:rsid w:val="006D2973"/>
    <w:rsid w:val="006D2DD4"/>
    <w:rsid w:val="006E3749"/>
    <w:rsid w:val="006F41E8"/>
    <w:rsid w:val="006F46D5"/>
    <w:rsid w:val="0074024E"/>
    <w:rsid w:val="00743C4B"/>
    <w:rsid w:val="00744F1C"/>
    <w:rsid w:val="0075763B"/>
    <w:rsid w:val="007605AC"/>
    <w:rsid w:val="00761779"/>
    <w:rsid w:val="0079014B"/>
    <w:rsid w:val="007A5709"/>
    <w:rsid w:val="007B5B70"/>
    <w:rsid w:val="007B7DA6"/>
    <w:rsid w:val="007C5BE5"/>
    <w:rsid w:val="007D2813"/>
    <w:rsid w:val="007D2B75"/>
    <w:rsid w:val="007D55FD"/>
    <w:rsid w:val="007E536F"/>
    <w:rsid w:val="007F0A68"/>
    <w:rsid w:val="007F2083"/>
    <w:rsid w:val="007F36C7"/>
    <w:rsid w:val="00807077"/>
    <w:rsid w:val="0081423C"/>
    <w:rsid w:val="00830174"/>
    <w:rsid w:val="00831028"/>
    <w:rsid w:val="008322D8"/>
    <w:rsid w:val="00846111"/>
    <w:rsid w:val="00850003"/>
    <w:rsid w:val="00855A1A"/>
    <w:rsid w:val="008612F6"/>
    <w:rsid w:val="00862A93"/>
    <w:rsid w:val="00863408"/>
    <w:rsid w:val="00872B58"/>
    <w:rsid w:val="00876BF7"/>
    <w:rsid w:val="00884647"/>
    <w:rsid w:val="00890039"/>
    <w:rsid w:val="00893468"/>
    <w:rsid w:val="008B5DE1"/>
    <w:rsid w:val="008E4DCD"/>
    <w:rsid w:val="008F0FD1"/>
    <w:rsid w:val="00905BFC"/>
    <w:rsid w:val="009076C0"/>
    <w:rsid w:val="009170E8"/>
    <w:rsid w:val="00931258"/>
    <w:rsid w:val="009321C2"/>
    <w:rsid w:val="00934D31"/>
    <w:rsid w:val="00944257"/>
    <w:rsid w:val="00947713"/>
    <w:rsid w:val="0098337D"/>
    <w:rsid w:val="00986CE2"/>
    <w:rsid w:val="00987985"/>
    <w:rsid w:val="009A751F"/>
    <w:rsid w:val="009B396F"/>
    <w:rsid w:val="009C1831"/>
    <w:rsid w:val="009C4732"/>
    <w:rsid w:val="009F562A"/>
    <w:rsid w:val="00A02BC9"/>
    <w:rsid w:val="00A0454C"/>
    <w:rsid w:val="00A16E11"/>
    <w:rsid w:val="00A24849"/>
    <w:rsid w:val="00A31806"/>
    <w:rsid w:val="00A342DC"/>
    <w:rsid w:val="00A355A3"/>
    <w:rsid w:val="00A4081C"/>
    <w:rsid w:val="00A41A5B"/>
    <w:rsid w:val="00A43B0D"/>
    <w:rsid w:val="00A67F06"/>
    <w:rsid w:val="00A70905"/>
    <w:rsid w:val="00A75423"/>
    <w:rsid w:val="00A97905"/>
    <w:rsid w:val="00AB5927"/>
    <w:rsid w:val="00AB699D"/>
    <w:rsid w:val="00AC3CB9"/>
    <w:rsid w:val="00AC5A94"/>
    <w:rsid w:val="00AD3F24"/>
    <w:rsid w:val="00AD6FEA"/>
    <w:rsid w:val="00AE0BCD"/>
    <w:rsid w:val="00AE4132"/>
    <w:rsid w:val="00AF015C"/>
    <w:rsid w:val="00AF0E72"/>
    <w:rsid w:val="00AF5B1A"/>
    <w:rsid w:val="00B13D69"/>
    <w:rsid w:val="00B2467A"/>
    <w:rsid w:val="00B30165"/>
    <w:rsid w:val="00B439C8"/>
    <w:rsid w:val="00B45CAC"/>
    <w:rsid w:val="00B510C2"/>
    <w:rsid w:val="00B53D58"/>
    <w:rsid w:val="00B54417"/>
    <w:rsid w:val="00B7538F"/>
    <w:rsid w:val="00B81B5B"/>
    <w:rsid w:val="00B87F1D"/>
    <w:rsid w:val="00BB249B"/>
    <w:rsid w:val="00BD7A13"/>
    <w:rsid w:val="00BF5659"/>
    <w:rsid w:val="00BF61C3"/>
    <w:rsid w:val="00C03299"/>
    <w:rsid w:val="00C05781"/>
    <w:rsid w:val="00C1118F"/>
    <w:rsid w:val="00C136F0"/>
    <w:rsid w:val="00C27753"/>
    <w:rsid w:val="00C46CCB"/>
    <w:rsid w:val="00C629C5"/>
    <w:rsid w:val="00CB1001"/>
    <w:rsid w:val="00CB16F6"/>
    <w:rsid w:val="00CF3C1E"/>
    <w:rsid w:val="00CF6CFD"/>
    <w:rsid w:val="00D31DB7"/>
    <w:rsid w:val="00D36549"/>
    <w:rsid w:val="00D406FE"/>
    <w:rsid w:val="00D41CEC"/>
    <w:rsid w:val="00D452A9"/>
    <w:rsid w:val="00D4547F"/>
    <w:rsid w:val="00D610CB"/>
    <w:rsid w:val="00D84F7D"/>
    <w:rsid w:val="00DA1DD2"/>
    <w:rsid w:val="00DA6444"/>
    <w:rsid w:val="00DF1C96"/>
    <w:rsid w:val="00E06F7A"/>
    <w:rsid w:val="00E1326A"/>
    <w:rsid w:val="00E2227B"/>
    <w:rsid w:val="00E26E95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ED4DAE"/>
    <w:rsid w:val="00EF1DD0"/>
    <w:rsid w:val="00EF2F23"/>
    <w:rsid w:val="00F00EB4"/>
    <w:rsid w:val="00F00FEE"/>
    <w:rsid w:val="00F0109A"/>
    <w:rsid w:val="00F065E8"/>
    <w:rsid w:val="00F06FE1"/>
    <w:rsid w:val="00F11388"/>
    <w:rsid w:val="00F1677A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3A6C"/>
    <w:rsid w:val="00FC545B"/>
    <w:rsid w:val="00FC6B17"/>
    <w:rsid w:val="00FE0CC9"/>
    <w:rsid w:val="00FE2AA4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60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1A6607"/>
    <w:rPr>
      <w:rFonts w:ascii="Ubuntu Light" w:eastAsiaTheme="majorEastAsia" w:hAnsi="Ubuntu Light" w:cstheme="majorBidi"/>
      <w:color w:val="2E74B5" w:themeColor="accent1" w:themeShade="BF"/>
      <w:sz w:val="28"/>
      <w:szCs w:val="26"/>
    </w:rPr>
  </w:style>
  <w:style w:type="paragraph" w:styleId="ab">
    <w:name w:val="List Paragraph"/>
    <w:basedOn w:val="a"/>
    <w:uiPriority w:val="34"/>
    <w:qFormat/>
    <w:rsid w:val="001A6607"/>
    <w:pPr>
      <w:ind w:left="720"/>
      <w:contextualSpacing/>
    </w:pPr>
  </w:style>
  <w:style w:type="table" w:styleId="ac">
    <w:name w:val="Table Grid"/>
    <w:basedOn w:val="a2"/>
    <w:uiPriority w:val="39"/>
    <w:rsid w:val="000722A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5144-8446-4615-8678-CBC66EEE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233</cp:revision>
  <cp:lastPrinted>2013-05-27T21:02:00Z</cp:lastPrinted>
  <dcterms:created xsi:type="dcterms:W3CDTF">2013-04-21T19:22:00Z</dcterms:created>
  <dcterms:modified xsi:type="dcterms:W3CDTF">2013-11-29T19:14:00Z</dcterms:modified>
</cp:coreProperties>
</file>