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18"/>
        <w:gridCol w:w="5451"/>
      </w:tblGrid>
      <w:tr w:rsidR="003711C1" w:rsidRPr="003711C1" w:rsidTr="003711C1">
        <w:trPr>
          <w:jc w:val="center"/>
        </w:trPr>
        <w:tc>
          <w:tcPr>
            <w:tcW w:w="0" w:type="auto"/>
            <w:tcBorders>
              <w:top w:val="outset" w:sz="6" w:space="0" w:color="555555"/>
              <w:left w:val="outset" w:sz="6" w:space="0" w:color="555555"/>
              <w:bottom w:val="outset" w:sz="6" w:space="0" w:color="555555"/>
              <w:right w:val="outset" w:sz="6" w:space="0" w:color="555555"/>
            </w:tcBorders>
            <w:tcMar>
              <w:top w:w="0" w:type="dxa"/>
              <w:left w:w="75" w:type="dxa"/>
              <w:bottom w:w="0" w:type="dxa"/>
              <w:right w:w="75" w:type="dxa"/>
            </w:tcMar>
            <w:hideMark/>
          </w:tcPr>
          <w:p w:rsidR="003711C1" w:rsidRPr="003711C1" w:rsidRDefault="003711C1" w:rsidP="003711C1">
            <w:pPr>
              <w:spacing w:after="300"/>
              <w:ind w:firstLine="0"/>
              <w:jc w:val="left"/>
              <w:rPr>
                <w:rFonts w:ascii="Times New Roman" w:eastAsia="Times New Roman" w:hAnsi="Times New Roman" w:cs="Times New Roman"/>
                <w:sz w:val="24"/>
                <w:szCs w:val="24"/>
                <w:lang w:eastAsia="ru-RU"/>
              </w:rPr>
            </w:pPr>
            <w:r w:rsidRPr="003711C1">
              <w:rPr>
                <w:rFonts w:ascii="Times New Roman" w:eastAsia="Times New Roman" w:hAnsi="Times New Roman" w:cs="Times New Roman"/>
                <w:b/>
                <w:bCs/>
                <w:sz w:val="24"/>
                <w:szCs w:val="24"/>
                <w:lang w:eastAsia="ru-RU"/>
              </w:rPr>
              <w:t>Бюджетное учреждение</w:t>
            </w:r>
          </w:p>
        </w:tc>
        <w:tc>
          <w:tcPr>
            <w:tcW w:w="0" w:type="auto"/>
            <w:tcBorders>
              <w:top w:val="outset" w:sz="6" w:space="0" w:color="555555"/>
              <w:left w:val="outset" w:sz="6" w:space="0" w:color="555555"/>
              <w:bottom w:val="outset" w:sz="6" w:space="0" w:color="555555"/>
              <w:right w:val="outset" w:sz="6" w:space="0" w:color="555555"/>
            </w:tcBorders>
            <w:tcMar>
              <w:top w:w="0" w:type="dxa"/>
              <w:left w:w="75" w:type="dxa"/>
              <w:bottom w:w="0" w:type="dxa"/>
              <w:right w:w="75" w:type="dxa"/>
            </w:tcMar>
            <w:hideMark/>
          </w:tcPr>
          <w:p w:rsidR="003711C1" w:rsidRPr="003711C1" w:rsidRDefault="003711C1" w:rsidP="003711C1">
            <w:pPr>
              <w:spacing w:after="300"/>
              <w:ind w:firstLine="0"/>
              <w:jc w:val="center"/>
              <w:rPr>
                <w:rFonts w:ascii="Times New Roman" w:eastAsia="Times New Roman" w:hAnsi="Times New Roman" w:cs="Times New Roman"/>
                <w:sz w:val="24"/>
                <w:szCs w:val="24"/>
                <w:lang w:eastAsia="ru-RU"/>
              </w:rPr>
            </w:pPr>
            <w:r w:rsidRPr="003711C1">
              <w:rPr>
                <w:rFonts w:ascii="Times New Roman" w:eastAsia="Times New Roman" w:hAnsi="Times New Roman" w:cs="Times New Roman"/>
                <w:b/>
                <w:bCs/>
                <w:sz w:val="24"/>
                <w:szCs w:val="24"/>
                <w:lang w:eastAsia="ru-RU"/>
              </w:rPr>
              <w:t>Автономное учреждение</w:t>
            </w:r>
          </w:p>
        </w:tc>
      </w:tr>
      <w:tr w:rsidR="003711C1" w:rsidRPr="003711C1" w:rsidTr="003711C1">
        <w:trPr>
          <w:jc w:val="center"/>
        </w:trPr>
        <w:tc>
          <w:tcPr>
            <w:tcW w:w="0" w:type="auto"/>
            <w:tcBorders>
              <w:top w:val="outset" w:sz="6" w:space="0" w:color="555555"/>
              <w:left w:val="outset" w:sz="6" w:space="0" w:color="555555"/>
              <w:bottom w:val="outset" w:sz="6" w:space="0" w:color="555555"/>
              <w:right w:val="outset" w:sz="6" w:space="0" w:color="555555"/>
            </w:tcBorders>
            <w:tcMar>
              <w:top w:w="0" w:type="dxa"/>
              <w:left w:w="75" w:type="dxa"/>
              <w:bottom w:w="0" w:type="dxa"/>
              <w:right w:w="75" w:type="dxa"/>
            </w:tcMar>
            <w:hideMark/>
          </w:tcPr>
          <w:p w:rsidR="003711C1" w:rsidRPr="003711C1" w:rsidRDefault="003711C1" w:rsidP="003711C1">
            <w:pPr>
              <w:spacing w:after="300"/>
              <w:ind w:firstLine="0"/>
              <w:jc w:val="left"/>
              <w:rPr>
                <w:rFonts w:ascii="Times New Roman" w:eastAsia="Times New Roman" w:hAnsi="Times New Roman" w:cs="Times New Roman"/>
                <w:sz w:val="24"/>
                <w:szCs w:val="24"/>
                <w:lang w:eastAsia="ru-RU"/>
              </w:rPr>
            </w:pPr>
            <w:r w:rsidRPr="003711C1">
              <w:rPr>
                <w:rFonts w:ascii="Times New Roman" w:eastAsia="Times New Roman" w:hAnsi="Times New Roman" w:cs="Times New Roman"/>
                <w:sz w:val="24"/>
                <w:szCs w:val="24"/>
                <w:lang w:eastAsia="ru-RU"/>
              </w:rPr>
              <w:t>Бюджетный кодекс</w:t>
            </w:r>
          </w:p>
          <w:p w:rsidR="003711C1" w:rsidRPr="003711C1" w:rsidRDefault="003711C1" w:rsidP="003711C1">
            <w:pPr>
              <w:spacing w:after="300"/>
              <w:ind w:firstLine="0"/>
              <w:jc w:val="left"/>
              <w:rPr>
                <w:rFonts w:ascii="Times New Roman" w:eastAsia="Times New Roman" w:hAnsi="Times New Roman" w:cs="Times New Roman"/>
                <w:sz w:val="24"/>
                <w:szCs w:val="24"/>
                <w:lang w:eastAsia="ru-RU"/>
              </w:rPr>
            </w:pPr>
            <w:r w:rsidRPr="003711C1">
              <w:rPr>
                <w:rFonts w:ascii="Times New Roman" w:eastAsia="Times New Roman" w:hAnsi="Times New Roman" w:cs="Times New Roman"/>
                <w:sz w:val="24"/>
                <w:szCs w:val="24"/>
                <w:lang w:eastAsia="ru-RU"/>
              </w:rPr>
              <w:t>Российской Федерации</w:t>
            </w:r>
          </w:p>
        </w:tc>
        <w:tc>
          <w:tcPr>
            <w:tcW w:w="0" w:type="auto"/>
            <w:tcBorders>
              <w:top w:val="outset" w:sz="6" w:space="0" w:color="555555"/>
              <w:left w:val="outset" w:sz="6" w:space="0" w:color="555555"/>
              <w:bottom w:val="outset" w:sz="6" w:space="0" w:color="555555"/>
              <w:right w:val="outset" w:sz="6" w:space="0" w:color="555555"/>
            </w:tcBorders>
            <w:tcMar>
              <w:top w:w="0" w:type="dxa"/>
              <w:left w:w="75" w:type="dxa"/>
              <w:bottom w:w="0" w:type="dxa"/>
              <w:right w:w="75" w:type="dxa"/>
            </w:tcMar>
            <w:hideMark/>
          </w:tcPr>
          <w:p w:rsidR="003711C1" w:rsidRPr="003711C1" w:rsidRDefault="003711C1" w:rsidP="003711C1">
            <w:pPr>
              <w:spacing w:after="300"/>
              <w:ind w:firstLine="0"/>
              <w:jc w:val="left"/>
              <w:rPr>
                <w:rFonts w:ascii="Times New Roman" w:eastAsia="Times New Roman" w:hAnsi="Times New Roman" w:cs="Times New Roman"/>
                <w:sz w:val="24"/>
                <w:szCs w:val="24"/>
                <w:lang w:eastAsia="ru-RU"/>
              </w:rPr>
            </w:pPr>
            <w:r w:rsidRPr="003711C1">
              <w:rPr>
                <w:rFonts w:ascii="Times New Roman" w:eastAsia="Times New Roman" w:hAnsi="Times New Roman" w:cs="Times New Roman"/>
                <w:sz w:val="24"/>
                <w:szCs w:val="24"/>
                <w:lang w:eastAsia="ru-RU"/>
              </w:rPr>
              <w:t>Федеральный закон "Об автономных учреждениях"</w:t>
            </w:r>
          </w:p>
        </w:tc>
      </w:tr>
    </w:tbl>
    <w:p w:rsidR="00203BAD" w:rsidRDefault="00203BAD" w:rsidP="00203BAD">
      <w:pPr>
        <w:pStyle w:val="a0"/>
        <w:ind w:firstLine="0"/>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3872"/>
        <w:gridCol w:w="4399"/>
      </w:tblGrid>
      <w:tr w:rsidR="00203BAD" w:rsidRPr="00203BAD" w:rsidTr="00F73CC1">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center"/>
              <w:rPr>
                <w:rFonts w:ascii="Arial" w:eastAsia="Times New Roman" w:hAnsi="Arial" w:cs="Arial"/>
                <w:color w:val="555555"/>
                <w:sz w:val="20"/>
                <w:szCs w:val="20"/>
                <w:lang w:eastAsia="ru-RU"/>
              </w:rPr>
            </w:pPr>
          </w:p>
        </w:tc>
        <w:tc>
          <w:tcPr>
            <w:tcW w:w="0" w:type="auto"/>
            <w:tcBorders>
              <w:top w:val="outset" w:sz="6" w:space="0" w:color="555555"/>
              <w:left w:val="outset" w:sz="6" w:space="0" w:color="555555"/>
              <w:bottom w:val="outset" w:sz="6" w:space="0" w:color="555555"/>
              <w:right w:val="outset" w:sz="6" w:space="0" w:color="555555"/>
            </w:tcBorders>
            <w:shd w:val="clear" w:color="auto" w:fill="FFFFFF"/>
          </w:tcPr>
          <w:p w:rsidR="00203BAD" w:rsidRPr="00203BAD" w:rsidRDefault="00203BAD" w:rsidP="00203BAD">
            <w:pPr>
              <w:spacing w:after="300" w:line="270" w:lineRule="atLeast"/>
              <w:ind w:firstLine="0"/>
              <w:jc w:val="center"/>
              <w:rPr>
                <w:rFonts w:ascii="Arial" w:eastAsia="Times New Roman" w:hAnsi="Arial" w:cs="Arial"/>
                <w:b/>
                <w:bCs/>
                <w:color w:val="555555"/>
                <w:sz w:val="20"/>
                <w:szCs w:val="20"/>
                <w:lang w:eastAsia="ru-RU"/>
              </w:rPr>
            </w:pPr>
            <w:r w:rsidRPr="00203BAD">
              <w:rPr>
                <w:rFonts w:ascii="Arial" w:eastAsia="Times New Roman" w:hAnsi="Arial" w:cs="Arial"/>
                <w:b/>
                <w:bCs/>
                <w:color w:val="555555"/>
                <w:sz w:val="20"/>
                <w:szCs w:val="20"/>
                <w:lang w:eastAsia="ru-RU"/>
              </w:rPr>
              <w:t>Бюджетное учреждение</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center"/>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Автономное учреждение</w:t>
            </w:r>
          </w:p>
        </w:tc>
      </w:tr>
      <w:tr w:rsidR="00203BAD" w:rsidRPr="00203BAD" w:rsidTr="00671693">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Учредитель</w:t>
            </w:r>
          </w:p>
        </w:tc>
        <w:tc>
          <w:tcPr>
            <w:tcW w:w="0" w:type="auto"/>
            <w:gridSpan w:val="2"/>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орган государственной власти (орган местного самоуправления)</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Цели создания</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Осуществление</w:t>
            </w:r>
          </w:p>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управленческих, социально-культурных или иных функций некоммерческого характера</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выполнение работ, оказание услуг в целях осуществления полномочий органов государственной власти, местного самоуправления</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Финансирование</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полностью или частично финансируется учредителем</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финансируется выполнение задания на основе плана финансово-хозяйственной деятельности</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Право распоряжения</w:t>
            </w:r>
          </w:p>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имуществом</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не вправе отчуждать или иным способом распоряжаться закрепленным за ним имуществом и имуществом, приобретенным за счет выделенных средств</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вправе распоряжаться самостоятельно, за исключением недвижимого и особо ценного движимого имущества, которым учреждение может распоряжаться только с согласия собственника</w:t>
            </w:r>
          </w:p>
        </w:tc>
      </w:tr>
      <w:tr w:rsidR="00203BAD" w:rsidRPr="00203BAD" w:rsidTr="00AC313A">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Право собственника</w:t>
            </w:r>
          </w:p>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(учредителя)</w:t>
            </w:r>
          </w:p>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на изъятие закрепленного за ним имущества</w:t>
            </w:r>
          </w:p>
        </w:tc>
        <w:tc>
          <w:tcPr>
            <w:tcW w:w="0" w:type="auto"/>
            <w:gridSpan w:val="2"/>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вправе изъять излишнее,</w:t>
            </w:r>
          </w:p>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неиспользуемое либо используемое не по назначению имущество</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Ответственность учреждения</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отвечает по своим обязательствам находящимися в его распоряжении денежными средствами</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отвечает по своим обязательствам, закрепленным за ним имуществом, за исключением недвижимого имущества и особо ценного движимого имущества</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Ответственность собственника (учредителя)</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собственник несет субсидиарную ответственность по обязательствам учреждения</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учредитель не несет ответственность по обязательствам учреждения, а учреждение не отвечает по обязательствам учредителя</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Распоряжение доходами</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поступают в самостоятельное распоряжение, подлежат зачислению в бюджет и учитываются на отдельном балансе</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поступают в самостоятельное распоряжение и используются для достижения целей, ради которых создано учреждение</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Органы управления</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руководитель; наблюдательный совет не является обязательным органом</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наблюдательный совет и руководитель обязательны</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lastRenderedPageBreak/>
              <w:t>Права организации по привлечению заемных средств</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не вправе получать кредиты у кредитных организаций, других физических и юридических лиц</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after="300"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вправе привлекать заемные средства</w:t>
            </w:r>
          </w:p>
        </w:tc>
      </w:tr>
      <w:tr w:rsidR="00203BAD" w:rsidRPr="00203BAD" w:rsidTr="00203BAD">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spacing w:line="270" w:lineRule="atLeast"/>
              <w:ind w:firstLine="0"/>
              <w:jc w:val="left"/>
              <w:rPr>
                <w:rFonts w:ascii="Arial" w:eastAsia="Times New Roman" w:hAnsi="Arial" w:cs="Arial"/>
                <w:color w:val="555555"/>
                <w:sz w:val="20"/>
                <w:szCs w:val="20"/>
                <w:lang w:eastAsia="ru-RU"/>
              </w:rPr>
            </w:pPr>
            <w:r w:rsidRPr="00203BAD">
              <w:rPr>
                <w:rFonts w:ascii="Arial" w:eastAsia="Times New Roman" w:hAnsi="Arial" w:cs="Arial"/>
                <w:b/>
                <w:bCs/>
                <w:color w:val="555555"/>
                <w:sz w:val="20"/>
                <w:szCs w:val="20"/>
                <w:lang w:eastAsia="ru-RU"/>
              </w:rPr>
              <w:t>Формы реорганизации</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numPr>
                <w:ilvl w:val="0"/>
                <w:numId w:val="2"/>
              </w:numPr>
              <w:spacing w:line="270" w:lineRule="atLeast"/>
              <w:ind w:left="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слияние, присоединение, разделение, выделение, преобразование;</w:t>
            </w:r>
          </w:p>
          <w:p w:rsidR="00203BAD" w:rsidRPr="00203BAD" w:rsidRDefault="00203BAD" w:rsidP="00203BAD">
            <w:pPr>
              <w:numPr>
                <w:ilvl w:val="0"/>
                <w:numId w:val="2"/>
              </w:numPr>
              <w:spacing w:line="270" w:lineRule="atLeast"/>
              <w:ind w:left="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может быть создано путем изменения его типа по решению учредителя</w:t>
            </w:r>
          </w:p>
        </w:tc>
        <w:tc>
          <w:tcPr>
            <w:tcW w:w="0" w:type="auto"/>
            <w:tcBorders>
              <w:top w:val="outset" w:sz="6" w:space="0" w:color="555555"/>
              <w:left w:val="outset" w:sz="6" w:space="0" w:color="555555"/>
              <w:bottom w:val="outset" w:sz="6" w:space="0" w:color="555555"/>
              <w:right w:val="outset" w:sz="6" w:space="0" w:color="555555"/>
            </w:tcBorders>
            <w:shd w:val="clear" w:color="auto" w:fill="FFFFFF"/>
            <w:tcMar>
              <w:top w:w="0" w:type="dxa"/>
              <w:left w:w="75" w:type="dxa"/>
              <w:bottom w:w="0" w:type="dxa"/>
              <w:right w:w="75" w:type="dxa"/>
            </w:tcMar>
            <w:hideMark/>
          </w:tcPr>
          <w:p w:rsidR="00203BAD" w:rsidRPr="00203BAD" w:rsidRDefault="00203BAD" w:rsidP="00203BAD">
            <w:pPr>
              <w:numPr>
                <w:ilvl w:val="0"/>
                <w:numId w:val="3"/>
              </w:numPr>
              <w:spacing w:line="270" w:lineRule="atLeast"/>
              <w:ind w:left="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слияние или присоединение (если созданы на базе имущества одного и того же собственника), разделение, выделение;</w:t>
            </w:r>
          </w:p>
          <w:p w:rsidR="00203BAD" w:rsidRPr="00203BAD" w:rsidRDefault="00203BAD" w:rsidP="00203BAD">
            <w:pPr>
              <w:numPr>
                <w:ilvl w:val="0"/>
                <w:numId w:val="3"/>
              </w:numPr>
              <w:spacing w:line="270" w:lineRule="atLeast"/>
              <w:ind w:left="0"/>
              <w:jc w:val="left"/>
              <w:rPr>
                <w:rFonts w:ascii="Arial" w:eastAsia="Times New Roman" w:hAnsi="Arial" w:cs="Arial"/>
                <w:color w:val="555555"/>
                <w:sz w:val="20"/>
                <w:szCs w:val="20"/>
                <w:lang w:eastAsia="ru-RU"/>
              </w:rPr>
            </w:pPr>
            <w:r w:rsidRPr="00203BAD">
              <w:rPr>
                <w:rFonts w:ascii="Arial" w:eastAsia="Times New Roman" w:hAnsi="Arial" w:cs="Arial"/>
                <w:color w:val="555555"/>
                <w:sz w:val="20"/>
                <w:szCs w:val="20"/>
                <w:lang w:eastAsia="ru-RU"/>
              </w:rPr>
              <w:t>преобразование в бюджетное учреждение.</w:t>
            </w:r>
          </w:p>
        </w:tc>
      </w:tr>
    </w:tbl>
    <w:p w:rsidR="003C4903" w:rsidRDefault="003C4903" w:rsidP="003C4903">
      <w:pPr>
        <w:pStyle w:val="1"/>
      </w:pPr>
      <w:bookmarkStart w:id="0" w:name="_GoBack"/>
      <w:bookmarkEnd w:id="0"/>
      <w:r>
        <w:t>ФЕДЕРАЛЬНЫЙ ЗАКОН</w:t>
      </w:r>
      <w:r>
        <w:t xml:space="preserve"> 174 </w:t>
      </w:r>
      <w:r>
        <w:t>ОБ АВТОНОМНЫХ УЧРЕЖДЕНИЯХ</w:t>
      </w:r>
    </w:p>
    <w:p w:rsidR="006675B2" w:rsidRPr="006675B2" w:rsidRDefault="006675B2" w:rsidP="003C4903">
      <w:pPr>
        <w:pStyle w:val="a0"/>
      </w:pPr>
      <w:r w:rsidRPr="006675B2">
        <w:rPr>
          <w:b/>
        </w:rPr>
        <w:t>Статья 2. Автономное учреждение</w:t>
      </w:r>
    </w:p>
    <w:p w:rsidR="003C4903" w:rsidRDefault="006675B2" w:rsidP="003C4903">
      <w:pPr>
        <w:pStyle w:val="a0"/>
      </w:pPr>
      <w:r>
        <w:t xml:space="preserve">1. </w:t>
      </w:r>
      <w:r w:rsidR="003C4903">
        <w:t>Автономным учреждением признается некоммерческая организация, созданная Российской Федерацией, субъектом Российской Федерации или муниципальным образованием для выполнения работ, оказания услуг в целях осуществления предусмотренных законодательством Российской Федерации полномочий органов государственной власти, полномочий органов местного самоуправления в сферах науки, образования, здравоохранения, культуры, средств массовой информации, социальной защиты, занятости населения, физической культуры и спорта, а также в иных сферах в случаях, установленных федеральными законами (в том числе при проведении мероприятий по работе с детьми и молодежью в указанных сферах).</w:t>
      </w:r>
    </w:p>
    <w:p w:rsidR="003C4903" w:rsidRDefault="003C4903" w:rsidP="003C4903">
      <w:pPr>
        <w:pStyle w:val="a0"/>
      </w:pPr>
      <w:r w:rsidRPr="003C4903">
        <w:rPr>
          <w:b/>
        </w:rPr>
        <w:t>Статья 4</w:t>
      </w:r>
      <w:r>
        <w:t xml:space="preserve">. </w:t>
      </w:r>
      <w:r w:rsidRPr="008A68CE">
        <w:rPr>
          <w:b/>
        </w:rPr>
        <w:t>Виды деятельности автономного учреждения</w:t>
      </w:r>
    </w:p>
    <w:p w:rsidR="003C4903" w:rsidRDefault="003C4903" w:rsidP="003C4903">
      <w:pPr>
        <w:pStyle w:val="a0"/>
      </w:pPr>
      <w:r>
        <w:t xml:space="preserve">1. </w:t>
      </w:r>
      <w:r w:rsidRPr="003C4903">
        <w:rPr>
          <w:b/>
        </w:rPr>
        <w:t>Основной деятельностью</w:t>
      </w:r>
      <w:r>
        <w:t xml:space="preserve"> автономного учреждения признается деятельность, непосредственно направленная на достижение целей, ради которых автономное учреждение создано.</w:t>
      </w:r>
    </w:p>
    <w:p w:rsidR="003C4903" w:rsidRDefault="003C4903" w:rsidP="003C4903">
      <w:pPr>
        <w:pStyle w:val="a0"/>
        <w:rPr>
          <w:i/>
        </w:rPr>
      </w:pPr>
      <w:r>
        <w:t xml:space="preserve">2. </w:t>
      </w:r>
      <w:r w:rsidRPr="00203BAD">
        <w:rPr>
          <w:b/>
          <w:i/>
        </w:rPr>
        <w:t>Государственное (муниципальное) задание</w:t>
      </w:r>
      <w:r w:rsidRPr="00203BAD">
        <w:rPr>
          <w:i/>
        </w:rPr>
        <w:t xml:space="preserve"> для автономного учреждения формируется и утверждается учредителем в соответствии с видами деятельности, отнесенными его уставом к основной деятельности. Автономное учреждение осуществляет в соответствии с государственным (муниципальным) заданием и (или) обязательствами перед страховщиком по обязательному социальному страхованию деятельность, связанную с выполнением работ, оказанием услуг.</w:t>
      </w:r>
    </w:p>
    <w:p w:rsidR="006675B2" w:rsidRPr="006675B2" w:rsidRDefault="006675B2" w:rsidP="006675B2">
      <w:pPr>
        <w:pStyle w:val="a0"/>
        <w:rPr>
          <w:u w:val="single"/>
        </w:rPr>
      </w:pPr>
      <w:r w:rsidRPr="006675B2">
        <w:rPr>
          <w:u w:val="single"/>
        </w:rPr>
        <w:t xml:space="preserve">Расходы автономных учреждений, </w:t>
      </w:r>
      <w:r w:rsidRPr="006675B2">
        <w:rPr>
          <w:b/>
          <w:u w:val="single"/>
        </w:rPr>
        <w:t>источником финансового обеспечения которых являются средства, полученные автономными учреждениями</w:t>
      </w:r>
      <w:r w:rsidRPr="006675B2">
        <w:rPr>
          <w:u w:val="single"/>
        </w:rPr>
        <w:t xml:space="preserve"> в соответствии с </w:t>
      </w:r>
      <w:r w:rsidRPr="006675B2">
        <w:rPr>
          <w:u w:val="single"/>
        </w:rPr>
        <w:t>пунктом</w:t>
      </w:r>
      <w:r w:rsidRPr="006675B2">
        <w:rPr>
          <w:u w:val="single"/>
        </w:rPr>
        <w:t xml:space="preserve"> 1 статьи 78.1 и пунктом 5 статьи 79 Бюджетного кодекса Российской Федерации, осуществляются после проверки документов, подтверждающих возникновение денежных обязательств, и соответствия содержания данных операций кодам классификации операций сектора государственного управления и целям предоставления субсидий и бюджетных инвестиций в порядке, установленном соответствующим финансовым органом, для санкционирования этих расходов.</w:t>
      </w:r>
    </w:p>
    <w:p w:rsidR="006675B2" w:rsidRDefault="003C4903" w:rsidP="003C4903">
      <w:pPr>
        <w:pStyle w:val="a0"/>
      </w:pPr>
      <w:r>
        <w:t xml:space="preserve">3. </w:t>
      </w:r>
      <w:r w:rsidRPr="003C4903">
        <w:rPr>
          <w:b/>
        </w:rPr>
        <w:t>Финансовое обеспечение</w:t>
      </w:r>
      <w:r>
        <w:t xml:space="preserve"> выполнения государственного (муниципального) задания осуществляется с учетом расходов на содержание недвижимого имущества и особо ценного движимого имущества, закрепленных за автономным учреждением учредителем или приобретенных автономным учреждением за счет средств, выделенных ему учредителем на приобретение такого имущества, расходов на уплату налогов, в качестве объекта налогообложения по которым признается соответствующее имущество, в том числе земельные участки. </w:t>
      </w:r>
    </w:p>
    <w:p w:rsidR="003C4903" w:rsidRDefault="003C4903" w:rsidP="003C4903">
      <w:pPr>
        <w:pStyle w:val="a0"/>
      </w:pPr>
      <w:r>
        <w:lastRenderedPageBreak/>
        <w:t>В случае сдачи в аренду с согласия учредителя недвижимого имущества или особо ценного движимого имущества, закрепленных за автономным учреждением учредителем или приобретенных автономным учреждением за счет средств, выделенных ему учредителем на приобретение такого имущества, финансовое обеспечение содержания такого имущества учредителем не осуществляется. Финансовое обеспечение мероприятий, направленных на развитие автономных учреждений, перечень которых определяется органом, осуществляющим функции и полномочия учредителя, осуществляется за счет субсидий из соответствующего бюджета бюджетной системы Российской Федерации.</w:t>
      </w:r>
    </w:p>
    <w:p w:rsidR="003C4903" w:rsidRDefault="003C4903" w:rsidP="003C4903">
      <w:pPr>
        <w:pStyle w:val="a0"/>
      </w:pPr>
      <w:r>
        <w:t xml:space="preserve">7. Автономное учреждение вправе </w:t>
      </w:r>
      <w:r w:rsidRPr="006675B2">
        <w:rPr>
          <w:b/>
        </w:rPr>
        <w:t>осуществлять иные виды деятельности</w:t>
      </w:r>
      <w:r>
        <w:t xml:space="preserve">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(уставе).</w:t>
      </w:r>
    </w:p>
    <w:p w:rsidR="003C4903" w:rsidRPr="008A68CE" w:rsidRDefault="003C4903" w:rsidP="003C4903">
      <w:pPr>
        <w:pStyle w:val="a0"/>
        <w:rPr>
          <w:b/>
        </w:rPr>
      </w:pPr>
      <w:r w:rsidRPr="008A68CE">
        <w:rPr>
          <w:b/>
        </w:rPr>
        <w:t xml:space="preserve">Статья 5. </w:t>
      </w:r>
      <w:r w:rsidR="008A68CE" w:rsidRPr="008A68CE">
        <w:rPr>
          <w:b/>
        </w:rPr>
        <w:t>Создание автономного учреждения</w:t>
      </w:r>
    </w:p>
    <w:p w:rsidR="003C4903" w:rsidRDefault="003C4903" w:rsidP="003C4903">
      <w:pPr>
        <w:pStyle w:val="a0"/>
      </w:pPr>
      <w:r>
        <w:t>1. Автономное учреждение может быть создано путем его учреждения или путем изменения типа существующего государственного или муниципального учреждения.</w:t>
      </w:r>
    </w:p>
    <w:p w:rsidR="008A68CE" w:rsidRDefault="008A68CE" w:rsidP="008A68CE">
      <w:pPr>
        <w:pStyle w:val="a0"/>
      </w:pPr>
      <w:r w:rsidRPr="008A68CE">
        <w:rPr>
          <w:b/>
        </w:rPr>
        <w:t>Статья 10. Наблюдательный совет автономного учреждения</w:t>
      </w:r>
    </w:p>
    <w:p w:rsidR="008A68CE" w:rsidRDefault="008A68CE" w:rsidP="008A68CE">
      <w:pPr>
        <w:pStyle w:val="a0"/>
      </w:pPr>
      <w:r>
        <w:t>1. В автономном учреждении создается наблюдательный совет в составе не менее чем пять и не более чем одиннадцать членов. В состав наблюдательного совета автономного учреждения входят представители учредителя автономного учреждения, представители исполнительных органов государственной власти или представители органов местного самоуправления, на которые возложено управление государственным или муниципальным имуществом, и представители общественности, в том числе лица, имеющие заслуги и достижения в соответствующей сфере деятельности.</w:t>
      </w:r>
    </w:p>
    <w:p w:rsidR="008A68CE" w:rsidRPr="008A68CE" w:rsidRDefault="008A68CE" w:rsidP="008A68CE">
      <w:pPr>
        <w:pStyle w:val="a0"/>
        <w:rPr>
          <w:b/>
        </w:rPr>
      </w:pPr>
      <w:r w:rsidRPr="008A68CE">
        <w:rPr>
          <w:b/>
        </w:rPr>
        <w:t>Статья 11. Компетенция наблюдательного совета автономного учреждения</w:t>
      </w:r>
    </w:p>
    <w:p w:rsidR="008A68CE" w:rsidRDefault="008A68CE" w:rsidP="008A68CE">
      <w:pPr>
        <w:pStyle w:val="a0"/>
      </w:pPr>
      <w:r>
        <w:t>1. Наблюдательный совет автономного учреждения рассматривает:</w:t>
      </w:r>
    </w:p>
    <w:p w:rsidR="008A68CE" w:rsidRDefault="008A68CE" w:rsidP="008A68CE">
      <w:pPr>
        <w:pStyle w:val="a0"/>
      </w:pPr>
      <w:r>
        <w:t>1) предложения учредителя или руководителя автономного учреждения о внесении изменений в устав автономного учреждения;</w:t>
      </w:r>
    </w:p>
    <w:p w:rsidR="008A68CE" w:rsidRDefault="008A68CE" w:rsidP="008A68CE">
      <w:pPr>
        <w:pStyle w:val="a0"/>
      </w:pPr>
      <w:r>
        <w:t>2) предложения учредителя или руководителя автономного учреждения о создании и ликвидации филиалов автономного учреждения, об открытии и о закрытии его представительств;</w:t>
      </w:r>
    </w:p>
    <w:p w:rsidR="008A68CE" w:rsidRDefault="008A68CE" w:rsidP="008A68CE">
      <w:pPr>
        <w:pStyle w:val="a0"/>
      </w:pPr>
      <w:r>
        <w:t>3) предложения учредителя или руководителя автономного учреждения о реорганизации автономного учреждения или о его ликвидации;</w:t>
      </w:r>
    </w:p>
    <w:p w:rsidR="008A68CE" w:rsidRDefault="008A68CE" w:rsidP="008A68CE">
      <w:pPr>
        <w:pStyle w:val="a0"/>
      </w:pPr>
      <w:r>
        <w:t>4) предложения учредителя или руководителя автономного учреждения об изъятии имущества, закрепленного за автономным учреждением на праве оперативного управления;</w:t>
      </w:r>
    </w:p>
    <w:p w:rsidR="008A68CE" w:rsidRDefault="008A68CE" w:rsidP="008A68CE">
      <w:pPr>
        <w:pStyle w:val="a0"/>
      </w:pPr>
      <w:r>
        <w:t>5) предложения руководителя автономного учреждения об участии автономного учреждения в других юридических лицах, в том числе о внесении денежных средств и иного имущества в уставный (складочный) капитал других юридических лиц или передаче такого имущества иным образом другим юридическим лицам, в качестве учредителя или участника;</w:t>
      </w:r>
    </w:p>
    <w:p w:rsidR="008A68CE" w:rsidRDefault="008A68CE" w:rsidP="008A68CE">
      <w:pPr>
        <w:pStyle w:val="a0"/>
      </w:pPr>
      <w:r>
        <w:t>6) проект плана финансово-хозяйственной деятельности автономного учреждения;</w:t>
      </w:r>
    </w:p>
    <w:p w:rsidR="008A68CE" w:rsidRDefault="008A68CE" w:rsidP="008A68CE">
      <w:pPr>
        <w:pStyle w:val="a0"/>
      </w:pPr>
      <w:r>
        <w:lastRenderedPageBreak/>
        <w:t>7) по представлению руководителя автономного учреждения проекты отчетов о деятельности автономного учреждения и об использовании его имущества, об исполнении плана его финансово-хозяйственной деятельности, годовую бухгалтерскую отчетность автономного учреждения;</w:t>
      </w:r>
    </w:p>
    <w:p w:rsidR="008A68CE" w:rsidRDefault="008A68CE" w:rsidP="008A68CE">
      <w:pPr>
        <w:pStyle w:val="a0"/>
      </w:pPr>
      <w:r>
        <w:t>8) предложения руководителя автономного учреждения о совершении сделок по распоряжению имуществом, которым в соответствии с частями 2 и 6 статьи 3 настоящего Федерального закона автономное учреждение не вправе распоряжаться самостоятельно;</w:t>
      </w:r>
    </w:p>
    <w:p w:rsidR="008A68CE" w:rsidRDefault="008A68CE" w:rsidP="008A68CE">
      <w:pPr>
        <w:pStyle w:val="a0"/>
      </w:pPr>
      <w:r>
        <w:t>9) предложения руководителя автономного учреждения о совершении крупных сделок;</w:t>
      </w:r>
    </w:p>
    <w:p w:rsidR="008A68CE" w:rsidRDefault="008A68CE" w:rsidP="008A68CE">
      <w:pPr>
        <w:pStyle w:val="a0"/>
      </w:pPr>
      <w:r>
        <w:t>10) предложения руководителя автономного учреждения о совершении сделок, в совершении которых имеется заинтересованность;</w:t>
      </w:r>
    </w:p>
    <w:p w:rsidR="008A68CE" w:rsidRDefault="008A68CE" w:rsidP="008A68CE">
      <w:pPr>
        <w:pStyle w:val="a0"/>
      </w:pPr>
      <w:r>
        <w:t>11) предложения руководителя автономного учреждения о выборе кредитных организаций, в которых автономное учреждение может открыть банковские счета;</w:t>
      </w:r>
    </w:p>
    <w:p w:rsidR="008A68CE" w:rsidRDefault="008A68CE" w:rsidP="008A68CE">
      <w:pPr>
        <w:pStyle w:val="a0"/>
      </w:pPr>
      <w:r>
        <w:t>12) вопросы проведения аудита годовой бухгалтерской отчетности автономного учреждения и утвер</w:t>
      </w:r>
      <w:r>
        <w:t>ждения аудиторской организации.</w:t>
      </w:r>
    </w:p>
    <w:p w:rsidR="006675B2" w:rsidRPr="00362008" w:rsidRDefault="006675B2" w:rsidP="006675B2">
      <w:pPr>
        <w:pStyle w:val="1"/>
        <w:rPr>
          <w:rFonts w:eastAsia="Times New Roman"/>
          <w:lang w:eastAsia="ru-RU"/>
        </w:rPr>
      </w:pPr>
      <w:r w:rsidRPr="00362008">
        <w:rPr>
          <w:rFonts w:eastAsia="Times New Roman"/>
          <w:lang w:eastAsia="ru-RU"/>
        </w:rPr>
        <w:t>Виды субсидий для автономного учреждения</w:t>
      </w:r>
    </w:p>
    <w:p w:rsidR="006675B2" w:rsidRPr="00362008" w:rsidRDefault="006675B2" w:rsidP="006675B2">
      <w:pPr>
        <w:pStyle w:val="a6"/>
        <w:numPr>
          <w:ilvl w:val="1"/>
          <w:numId w:val="2"/>
        </w:numPr>
      </w:pPr>
      <w:r w:rsidRPr="00362008">
        <w:t>На возмещение нормативных затрат на оказание услуг физическим и (или) юридическим лицам;</w:t>
      </w:r>
    </w:p>
    <w:p w:rsidR="006675B2" w:rsidRPr="00362008" w:rsidRDefault="006675B2" w:rsidP="006675B2">
      <w:pPr>
        <w:pStyle w:val="a6"/>
        <w:numPr>
          <w:ilvl w:val="1"/>
          <w:numId w:val="2"/>
        </w:numPr>
      </w:pPr>
      <w:r w:rsidRPr="00362008">
        <w:t>На возмещение нормативных затрат на содержание недвижимого имущества и особо ценного движимого имущества, закрепленного за автономным учреждением, или приобретенного автономным учреждением за счет средств, выделенных Учредителем на приобретение такого имущества (за исключением имущества, сданного в аренду с согласия Учредителя), а также на уплату налогов, в качестве объекта налогообложения по которым признается соответствующее имущество, в том числе земельные участки;</w:t>
      </w:r>
    </w:p>
    <w:p w:rsidR="006675B2" w:rsidRDefault="006675B2" w:rsidP="006675B2">
      <w:pPr>
        <w:pStyle w:val="a6"/>
        <w:numPr>
          <w:ilvl w:val="1"/>
          <w:numId w:val="2"/>
        </w:numPr>
      </w:pPr>
      <w:r w:rsidRPr="00362008">
        <w:t>На выравнивание финансового обеспечения выполнения задания, сформированного Учредителем в отношении Учреждения, созданного путем изменения типа существующего учреждения предоставляется в течение 3-х лет с даты создания за счет средств бюджета)</w:t>
      </w:r>
    </w:p>
    <w:p w:rsidR="008A68CE" w:rsidRDefault="00F341AD" w:rsidP="00F341AD">
      <w:pPr>
        <w:pStyle w:val="1"/>
      </w:pPr>
      <w:r w:rsidRPr="00F341AD">
        <w:t>Бюджетный кодекс. Статья 161. Бюджетное учреждение</w:t>
      </w:r>
    </w:p>
    <w:p w:rsidR="00F341AD" w:rsidRDefault="00F341AD" w:rsidP="00F341AD">
      <w:pPr>
        <w:pStyle w:val="a0"/>
      </w:pPr>
      <w:r>
        <w:t xml:space="preserve">1. Бюджетное учреждение </w:t>
      </w:r>
      <w:r w:rsidR="003711C1">
        <w:t>–</w:t>
      </w:r>
      <w:r>
        <w:t xml:space="preserve"> </w:t>
      </w:r>
      <w:r w:rsidR="003711C1" w:rsidRPr="003711C1">
        <w:t>государственное (муниципальное) учреждение, финансовое обеспечение выполнения функций которого, в том числе по оказанию государственных (муниципальных) услуг физическим и юридическим лицам в соответствии с государственным (муниципальным) заданием, осуществляется за счет средств соответствующего бюджета на основе бюджетной сметы</w:t>
      </w:r>
      <w:r>
        <w:t xml:space="preserve">. </w:t>
      </w:r>
    </w:p>
    <w:p w:rsidR="00F341AD" w:rsidRDefault="00F341AD" w:rsidP="00F341AD">
      <w:pPr>
        <w:pStyle w:val="a0"/>
      </w:pPr>
      <w:r>
        <w:t xml:space="preserve">3. В смете доходов и расходов должны быть отражены все доходы бюджетного учреждения, получаемые как из бюджета и государственных внебюджетных фондов, так и от осуществления предпринимательской деятельности, в том числе доходы от оказания платных услуг, другие доходы, получаемые от использования государственной или муниципальной собственности, закрепленной за бюджетным учреждением на праве оперативного управления, и иной деятельности. </w:t>
      </w:r>
    </w:p>
    <w:p w:rsidR="00F341AD" w:rsidRDefault="00F341AD" w:rsidP="00F341AD">
      <w:pPr>
        <w:pStyle w:val="a0"/>
      </w:pPr>
      <w:r>
        <w:lastRenderedPageBreak/>
        <w:t xml:space="preserve">6. Бюджетное учреждение использует бюджетные средства в соответствии с утвержденной сметой доходов и расходов. Федеральное казначейство Российской Федерации либо другой орган, исполняющий бюджет, совместно с главными распорядителями бюджетных средств определяет права бюджетного учреждения по перераспределению расходов по предметным статьям и видам расходов при исполнении сметы. </w:t>
      </w:r>
    </w:p>
    <w:p w:rsidR="00F341AD" w:rsidRDefault="00F341AD" w:rsidP="00F341AD">
      <w:pPr>
        <w:pStyle w:val="a0"/>
      </w:pPr>
      <w:r>
        <w:t xml:space="preserve">Бюджетное учреждение при исполнении сметы доходов и расходов самостоятельно в расходовании средств, полученных за счет внебюджетных источников. </w:t>
      </w:r>
    </w:p>
    <w:p w:rsidR="00F341AD" w:rsidRDefault="00F341AD" w:rsidP="00F341AD">
      <w:pPr>
        <w:pStyle w:val="a0"/>
      </w:pPr>
      <w:r>
        <w:t>7. Бюджетное учреждение, подведомственное федеральным органам исполнительной власти, использует бюджетные средства исключительно через лицевые счета бюджетных учреждений, которые ведутся Федеральным казначейством Российской Федерации.</w:t>
      </w:r>
    </w:p>
    <w:p w:rsidR="00203BAD" w:rsidRDefault="00203BAD" w:rsidP="00203BAD">
      <w:pPr>
        <w:pStyle w:val="1"/>
      </w:pPr>
      <w:r>
        <w:t>Преимущества автономного учреждения</w:t>
      </w:r>
    </w:p>
    <w:p w:rsidR="00203BAD" w:rsidRDefault="00203BAD" w:rsidP="00203BAD">
      <w:pPr>
        <w:pStyle w:val="a0"/>
        <w:numPr>
          <w:ilvl w:val="1"/>
          <w:numId w:val="2"/>
        </w:numPr>
      </w:pPr>
      <w:r>
        <w:t>Самостоятельное распределение авто</w:t>
      </w:r>
      <w:r>
        <w:t>номным учреждением всех доходов</w:t>
      </w:r>
    </w:p>
    <w:p w:rsidR="00203BAD" w:rsidRDefault="00203BAD" w:rsidP="00203BAD">
      <w:pPr>
        <w:pStyle w:val="a0"/>
        <w:numPr>
          <w:ilvl w:val="1"/>
          <w:numId w:val="2"/>
        </w:numPr>
      </w:pPr>
      <w:r>
        <w:t>Отсутствие контроля за расходованием средств со стороны казначейства (счета автономного учреждения в кредитных организациях)</w:t>
      </w:r>
    </w:p>
    <w:p w:rsidR="00203BAD" w:rsidRDefault="00203BAD" w:rsidP="00203BAD">
      <w:pPr>
        <w:pStyle w:val="a0"/>
        <w:numPr>
          <w:ilvl w:val="1"/>
          <w:numId w:val="2"/>
        </w:numPr>
      </w:pPr>
      <w:r>
        <w:t>Возможность самостоятельно формировать штатное расписание и определять должностные оклады</w:t>
      </w:r>
    </w:p>
    <w:p w:rsidR="00203BAD" w:rsidRDefault="00203BAD" w:rsidP="00203BAD">
      <w:pPr>
        <w:pStyle w:val="a0"/>
        <w:numPr>
          <w:ilvl w:val="1"/>
          <w:numId w:val="2"/>
        </w:numPr>
      </w:pPr>
      <w:r>
        <w:t>Возможность осуществлять заимствования</w:t>
      </w:r>
    </w:p>
    <w:p w:rsidR="00203BAD" w:rsidRDefault="00203BAD" w:rsidP="00203BAD">
      <w:pPr>
        <w:pStyle w:val="a0"/>
        <w:numPr>
          <w:ilvl w:val="1"/>
          <w:numId w:val="2"/>
        </w:numPr>
      </w:pPr>
      <w:r>
        <w:t>Разделение ответственности руководителя с Наблюдательным советом</w:t>
      </w:r>
    </w:p>
    <w:p w:rsidR="00203BAD" w:rsidRDefault="00203BAD" w:rsidP="00203BAD">
      <w:pPr>
        <w:pStyle w:val="a0"/>
        <w:numPr>
          <w:ilvl w:val="1"/>
          <w:numId w:val="2"/>
        </w:numPr>
      </w:pPr>
      <w:r>
        <w:t>Возможность "вернуться" в форму бюджетного учреждения без переоформления разрешительных документов</w:t>
      </w:r>
    </w:p>
    <w:p w:rsidR="00203BAD" w:rsidRDefault="00203BAD" w:rsidP="00203BAD">
      <w:pPr>
        <w:pStyle w:val="1"/>
      </w:pPr>
      <w:r>
        <w:t>Финансовые преимущества автономных учреждений</w:t>
      </w:r>
    </w:p>
    <w:p w:rsidR="00203BAD" w:rsidRPr="003A0A73" w:rsidRDefault="00203BAD" w:rsidP="00203BAD">
      <w:pPr>
        <w:pStyle w:val="a0"/>
        <w:rPr>
          <w:b/>
        </w:rPr>
      </w:pPr>
      <w:r w:rsidRPr="003A0A73">
        <w:rPr>
          <w:b/>
        </w:rPr>
        <w:t>Для автономного учреждения:</w:t>
      </w:r>
    </w:p>
    <w:p w:rsidR="00203BAD" w:rsidRDefault="003A0A73" w:rsidP="00203BAD">
      <w:pPr>
        <w:pStyle w:val="a0"/>
        <w:numPr>
          <w:ilvl w:val="0"/>
          <w:numId w:val="4"/>
        </w:numPr>
      </w:pPr>
      <w:r>
        <w:t>Получение</w:t>
      </w:r>
      <w:r w:rsidR="00203BAD">
        <w:t xml:space="preserve"> бюджетного финансирования в форме субсидий;</w:t>
      </w:r>
    </w:p>
    <w:p w:rsidR="00203BAD" w:rsidRDefault="003A0A73" w:rsidP="00203BAD">
      <w:pPr>
        <w:pStyle w:val="a0"/>
        <w:numPr>
          <w:ilvl w:val="0"/>
          <w:numId w:val="4"/>
        </w:numPr>
      </w:pPr>
      <w:r>
        <w:t>Утрата</w:t>
      </w:r>
      <w:r w:rsidR="00203BAD">
        <w:t xml:space="preserve"> статуса получателя бюджетных средств;</w:t>
      </w:r>
    </w:p>
    <w:p w:rsidR="00203BAD" w:rsidRDefault="003A0A73" w:rsidP="00203BAD">
      <w:pPr>
        <w:pStyle w:val="a0"/>
        <w:numPr>
          <w:ilvl w:val="0"/>
          <w:numId w:val="4"/>
        </w:numPr>
      </w:pPr>
      <w:r>
        <w:t>Возможность</w:t>
      </w:r>
      <w:r w:rsidR="00203BAD">
        <w:t xml:space="preserve"> распоряжаться заработанными средствами (поступлениями от платных услуг) без постоянного контроля со стороны учредителя;</w:t>
      </w:r>
    </w:p>
    <w:p w:rsidR="00203BAD" w:rsidRDefault="003A0A73" w:rsidP="00203BAD">
      <w:pPr>
        <w:pStyle w:val="a0"/>
        <w:numPr>
          <w:ilvl w:val="0"/>
          <w:numId w:val="4"/>
        </w:numPr>
      </w:pPr>
      <w:r>
        <w:t>Право</w:t>
      </w:r>
      <w:r w:rsidR="00203BAD">
        <w:t xml:space="preserve"> получать банковские кредиты, открывать счета в коммерческих банках, получать дивиденды, приобретать акции.</w:t>
      </w:r>
    </w:p>
    <w:p w:rsidR="00203BAD" w:rsidRPr="003A0A73" w:rsidRDefault="00203BAD" w:rsidP="00203BAD">
      <w:pPr>
        <w:pStyle w:val="a0"/>
        <w:rPr>
          <w:b/>
        </w:rPr>
      </w:pPr>
      <w:r w:rsidRPr="003A0A73">
        <w:rPr>
          <w:b/>
        </w:rPr>
        <w:t>Для учредителя:</w:t>
      </w:r>
    </w:p>
    <w:p w:rsidR="00203BAD" w:rsidRDefault="003A0A73" w:rsidP="00203BAD">
      <w:pPr>
        <w:pStyle w:val="a0"/>
        <w:numPr>
          <w:ilvl w:val="0"/>
          <w:numId w:val="5"/>
        </w:numPr>
      </w:pPr>
      <w:r>
        <w:t>Не</w:t>
      </w:r>
      <w:r w:rsidR="00203BAD">
        <w:t xml:space="preserve"> несет финансовой ответственности по обязательствам автономного учреждения;</w:t>
      </w:r>
    </w:p>
    <w:p w:rsidR="00203BAD" w:rsidRDefault="003A0A73" w:rsidP="00203BAD">
      <w:pPr>
        <w:pStyle w:val="a0"/>
        <w:numPr>
          <w:ilvl w:val="0"/>
          <w:numId w:val="5"/>
        </w:numPr>
      </w:pPr>
      <w:r>
        <w:t>Имеет</w:t>
      </w:r>
      <w:r w:rsidR="00203BAD">
        <w:t xml:space="preserve"> возможность осуществлять контроль за сохранностью имущества, закрепленного за автономным учреждением;</w:t>
      </w:r>
    </w:p>
    <w:p w:rsidR="00203BAD" w:rsidRDefault="003A0A73" w:rsidP="00203BAD">
      <w:pPr>
        <w:pStyle w:val="a0"/>
        <w:numPr>
          <w:ilvl w:val="0"/>
          <w:numId w:val="5"/>
        </w:numPr>
      </w:pPr>
      <w:r>
        <w:t>Сохранение</w:t>
      </w:r>
      <w:r w:rsidR="00203BAD">
        <w:t xml:space="preserve"> имущественного комплекса автономного учреждения в части недвижимого и особо ценного движимого имущества.</w:t>
      </w:r>
    </w:p>
    <w:p w:rsidR="003A0A73" w:rsidRPr="003A0A73" w:rsidRDefault="003A0A73" w:rsidP="003A0A73">
      <w:pPr>
        <w:pStyle w:val="1"/>
        <w:rPr>
          <w:rFonts w:eastAsia="Times New Roman"/>
          <w:lang w:eastAsia="ru-RU"/>
        </w:rPr>
      </w:pPr>
      <w:r w:rsidRPr="003A0A73">
        <w:rPr>
          <w:rFonts w:eastAsia="Times New Roman"/>
          <w:lang w:eastAsia="ru-RU"/>
        </w:rPr>
        <w:t>Финансовые отличия автономного учреждения и бюджетного учреждения</w:t>
      </w:r>
    </w:p>
    <w:p w:rsidR="003A0A73" w:rsidRPr="003A0A73" w:rsidRDefault="003A0A73" w:rsidP="003A0A73">
      <w:pPr>
        <w:pStyle w:val="a6"/>
        <w:numPr>
          <w:ilvl w:val="0"/>
          <w:numId w:val="7"/>
        </w:numPr>
      </w:pPr>
      <w:r w:rsidRPr="003A0A73">
        <w:t>Автономное учреждение может открывать счета в кредитных организациях, бюджетное учреждение – только в Казначействе;</w:t>
      </w:r>
    </w:p>
    <w:p w:rsidR="003A0A73" w:rsidRPr="003A0A73" w:rsidRDefault="003A0A73" w:rsidP="003A0A73">
      <w:pPr>
        <w:pStyle w:val="a6"/>
        <w:numPr>
          <w:ilvl w:val="0"/>
          <w:numId w:val="7"/>
        </w:numPr>
      </w:pPr>
      <w:r w:rsidRPr="003A0A73">
        <w:lastRenderedPageBreak/>
        <w:t>Учредитель несет субсидиарную ответственность по обязательствам бюджетного учреждения, а по обязательствам автономное учреждение – не несет;</w:t>
      </w:r>
    </w:p>
    <w:p w:rsidR="003A0A73" w:rsidRDefault="003A0A73" w:rsidP="003A0A73">
      <w:pPr>
        <w:pStyle w:val="a6"/>
        <w:numPr>
          <w:ilvl w:val="0"/>
          <w:numId w:val="7"/>
        </w:numPr>
      </w:pPr>
      <w:r w:rsidRPr="003A0A73">
        <w:t>Доходы бюджетного учреждения после уплаты налогов и сборов учитывают в смете и отражают в доходах соответствующего бюджета, автономные учреждения распоряжаются полученными средствами по своему усмотрению.</w:t>
      </w:r>
    </w:p>
    <w:sectPr w:rsidR="003A0A73" w:rsidSect="00E34A89">
      <w:footerReference w:type="default" r:id="rId8"/>
      <w:pgSz w:w="11906" w:h="16838"/>
      <w:pgMar w:top="567" w:right="567" w:bottom="567" w:left="567"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01A" w:rsidRDefault="00AE601A" w:rsidP="00E34A89">
      <w:r>
        <w:separator/>
      </w:r>
    </w:p>
  </w:endnote>
  <w:endnote w:type="continuationSeparator" w:id="0">
    <w:p w:rsidR="00AE601A" w:rsidRDefault="00AE601A" w:rsidP="00E3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Ubuntu Light">
    <w:panose1 w:val="020B0304030602030204"/>
    <w:charset w:val="CC"/>
    <w:family w:val="swiss"/>
    <w:pitch w:val="variable"/>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286759"/>
      <w:docPartObj>
        <w:docPartGallery w:val="Page Numbers (Bottom of Page)"/>
        <w:docPartUnique/>
      </w:docPartObj>
    </w:sdtPr>
    <w:sdtEndPr/>
    <w:sdtContent>
      <w:p w:rsidR="00E34A89" w:rsidRDefault="00E34A89">
        <w:pPr>
          <w:pStyle w:val="a9"/>
          <w:jc w:val="right"/>
        </w:pPr>
        <w:r>
          <w:fldChar w:fldCharType="begin"/>
        </w:r>
        <w:r>
          <w:instrText>PAGE   \* MERGEFORMAT</w:instrText>
        </w:r>
        <w:r>
          <w:fldChar w:fldCharType="separate"/>
        </w:r>
        <w:r w:rsidR="00846FEC">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01A" w:rsidRDefault="00AE601A" w:rsidP="00E34A89">
      <w:r>
        <w:separator/>
      </w:r>
    </w:p>
  </w:footnote>
  <w:footnote w:type="continuationSeparator" w:id="0">
    <w:p w:rsidR="00AE601A" w:rsidRDefault="00AE601A" w:rsidP="00E34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858"/>
    <w:multiLevelType w:val="hybridMultilevel"/>
    <w:tmpl w:val="93B62C6A"/>
    <w:lvl w:ilvl="0" w:tplc="2FE009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F0623D0"/>
    <w:multiLevelType w:val="multilevel"/>
    <w:tmpl w:val="2DF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C5621"/>
    <w:multiLevelType w:val="multilevel"/>
    <w:tmpl w:val="E85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767BE"/>
    <w:multiLevelType w:val="hybridMultilevel"/>
    <w:tmpl w:val="295AC952"/>
    <w:lvl w:ilvl="0" w:tplc="85E8BB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5CB3E44"/>
    <w:multiLevelType w:val="hybridMultilevel"/>
    <w:tmpl w:val="AE00DD7E"/>
    <w:lvl w:ilvl="0" w:tplc="12583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608F287C"/>
    <w:multiLevelType w:val="multilevel"/>
    <w:tmpl w:val="B13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03B51"/>
    <w:multiLevelType w:val="hybridMultilevel"/>
    <w:tmpl w:val="E28C905E"/>
    <w:lvl w:ilvl="0" w:tplc="E7ECD5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8122EFD"/>
    <w:multiLevelType w:val="multilevel"/>
    <w:tmpl w:val="26166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91"/>
    <w:rsid w:val="00203BAD"/>
    <w:rsid w:val="002458CF"/>
    <w:rsid w:val="002A7D7D"/>
    <w:rsid w:val="002C693F"/>
    <w:rsid w:val="002D5294"/>
    <w:rsid w:val="002E6975"/>
    <w:rsid w:val="00301F32"/>
    <w:rsid w:val="00302672"/>
    <w:rsid w:val="00344557"/>
    <w:rsid w:val="00362008"/>
    <w:rsid w:val="003711C1"/>
    <w:rsid w:val="003A0A73"/>
    <w:rsid w:val="003C4903"/>
    <w:rsid w:val="003D4386"/>
    <w:rsid w:val="003E44B5"/>
    <w:rsid w:val="00403E29"/>
    <w:rsid w:val="00526F40"/>
    <w:rsid w:val="005B503A"/>
    <w:rsid w:val="006675B2"/>
    <w:rsid w:val="006B77D4"/>
    <w:rsid w:val="00734604"/>
    <w:rsid w:val="007715B4"/>
    <w:rsid w:val="007D784E"/>
    <w:rsid w:val="00846FEC"/>
    <w:rsid w:val="008936B9"/>
    <w:rsid w:val="008A68CE"/>
    <w:rsid w:val="0099270E"/>
    <w:rsid w:val="009D426C"/>
    <w:rsid w:val="00A14E15"/>
    <w:rsid w:val="00A22E91"/>
    <w:rsid w:val="00AE601A"/>
    <w:rsid w:val="00B24D1F"/>
    <w:rsid w:val="00B33536"/>
    <w:rsid w:val="00B363AF"/>
    <w:rsid w:val="00B64AB7"/>
    <w:rsid w:val="00CD0745"/>
    <w:rsid w:val="00D6025A"/>
    <w:rsid w:val="00DA36D9"/>
    <w:rsid w:val="00DC2C98"/>
    <w:rsid w:val="00E02873"/>
    <w:rsid w:val="00E34A89"/>
    <w:rsid w:val="00ED0D1A"/>
    <w:rsid w:val="00F341AD"/>
    <w:rsid w:val="00F634C9"/>
    <w:rsid w:val="00FA3D49"/>
    <w:rsid w:val="00FB6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20B7F-0AD2-42D4-A723-E61499C3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386"/>
    <w:pPr>
      <w:spacing w:after="0"/>
    </w:pPr>
    <w:rPr>
      <w:rFonts w:ascii="Ubuntu Light" w:hAnsi="Ubuntu Light"/>
      <w:sz w:val="28"/>
    </w:rPr>
  </w:style>
  <w:style w:type="paragraph" w:styleId="1">
    <w:name w:val="heading 1"/>
    <w:basedOn w:val="a0"/>
    <w:next w:val="a0"/>
    <w:link w:val="10"/>
    <w:uiPriority w:val="9"/>
    <w:qFormat/>
    <w:rsid w:val="00ED0D1A"/>
    <w:pPr>
      <w:keepNext/>
      <w:keepLines/>
      <w:spacing w:before="240"/>
      <w:ind w:firstLine="0"/>
      <w:jc w:val="center"/>
      <w:outlineLvl w:val="0"/>
    </w:pPr>
    <w:rPr>
      <w:rFonts w:eastAsiaTheme="majorEastAsia" w:cstheme="majorBidi"/>
      <w:b/>
      <w:color w:val="2E74B5" w:themeColor="accent1" w:themeShade="BF"/>
      <w:szCs w:val="32"/>
    </w:rPr>
  </w:style>
  <w:style w:type="paragraph" w:styleId="2">
    <w:name w:val="heading 2"/>
    <w:basedOn w:val="a"/>
    <w:next w:val="a"/>
    <w:link w:val="20"/>
    <w:uiPriority w:val="9"/>
    <w:unhideWhenUsed/>
    <w:qFormat/>
    <w:rsid w:val="00CD0745"/>
    <w:pPr>
      <w:keepNext/>
      <w:keepLines/>
      <w:spacing w:before="40"/>
      <w:ind w:firstLine="0"/>
      <w:jc w:val="center"/>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D0D1A"/>
    <w:rPr>
      <w:rFonts w:ascii="Ubuntu Light" w:eastAsiaTheme="majorEastAsia" w:hAnsi="Ubuntu Light" w:cstheme="majorBidi"/>
      <w:b/>
      <w:color w:val="2E74B5" w:themeColor="accent1" w:themeShade="BF"/>
      <w:sz w:val="28"/>
      <w:szCs w:val="32"/>
    </w:rPr>
  </w:style>
  <w:style w:type="paragraph" w:styleId="a0">
    <w:name w:val="No Spacing"/>
    <w:uiPriority w:val="1"/>
    <w:qFormat/>
    <w:rsid w:val="00ED0D1A"/>
    <w:pPr>
      <w:spacing w:after="0"/>
      <w:contextualSpacing/>
    </w:pPr>
    <w:rPr>
      <w:rFonts w:ascii="Ubuntu Light" w:hAnsi="Ubuntu Light"/>
      <w:sz w:val="28"/>
    </w:rPr>
  </w:style>
  <w:style w:type="character" w:customStyle="1" w:styleId="20">
    <w:name w:val="Заголовок 2 Знак"/>
    <w:basedOn w:val="a1"/>
    <w:link w:val="2"/>
    <w:uiPriority w:val="9"/>
    <w:rsid w:val="00CD0745"/>
    <w:rPr>
      <w:rFonts w:asciiTheme="majorHAnsi" w:eastAsiaTheme="majorEastAsia" w:hAnsiTheme="majorHAnsi" w:cstheme="majorBidi"/>
      <w:color w:val="2E74B5" w:themeColor="accent1" w:themeShade="BF"/>
      <w:sz w:val="26"/>
      <w:szCs w:val="26"/>
    </w:rPr>
  </w:style>
  <w:style w:type="paragraph" w:styleId="a4">
    <w:name w:val="Title"/>
    <w:aliases w:val="Код"/>
    <w:basedOn w:val="a"/>
    <w:next w:val="a"/>
    <w:link w:val="a5"/>
    <w:uiPriority w:val="10"/>
    <w:qFormat/>
    <w:rsid w:val="007715B4"/>
    <w:pPr>
      <w:ind w:firstLine="0"/>
      <w:jc w:val="left"/>
    </w:pPr>
    <w:rPr>
      <w:rFonts w:ascii="Courier New" w:eastAsiaTheme="majorEastAsia" w:hAnsi="Courier New" w:cstheme="majorBidi"/>
      <w:spacing w:val="-10"/>
      <w:kern w:val="28"/>
      <w:sz w:val="24"/>
      <w:szCs w:val="56"/>
    </w:rPr>
  </w:style>
  <w:style w:type="character" w:customStyle="1" w:styleId="a5">
    <w:name w:val="Название Знак"/>
    <w:aliases w:val="Код Знак"/>
    <w:basedOn w:val="a1"/>
    <w:link w:val="a4"/>
    <w:uiPriority w:val="10"/>
    <w:rsid w:val="007715B4"/>
    <w:rPr>
      <w:rFonts w:ascii="Courier New" w:eastAsiaTheme="majorEastAsia" w:hAnsi="Courier New" w:cstheme="majorBidi"/>
      <w:spacing w:val="-10"/>
      <w:kern w:val="28"/>
      <w:sz w:val="24"/>
      <w:szCs w:val="56"/>
    </w:rPr>
  </w:style>
  <w:style w:type="paragraph" w:styleId="a6">
    <w:name w:val="List Paragraph"/>
    <w:basedOn w:val="a"/>
    <w:uiPriority w:val="34"/>
    <w:qFormat/>
    <w:rsid w:val="00B33536"/>
    <w:pPr>
      <w:ind w:left="720"/>
      <w:contextualSpacing/>
    </w:pPr>
  </w:style>
  <w:style w:type="paragraph" w:styleId="a7">
    <w:name w:val="header"/>
    <w:basedOn w:val="a"/>
    <w:link w:val="a8"/>
    <w:uiPriority w:val="99"/>
    <w:unhideWhenUsed/>
    <w:rsid w:val="00E34A89"/>
    <w:pPr>
      <w:tabs>
        <w:tab w:val="center" w:pos="4677"/>
        <w:tab w:val="right" w:pos="9355"/>
      </w:tabs>
    </w:pPr>
  </w:style>
  <w:style w:type="character" w:customStyle="1" w:styleId="a8">
    <w:name w:val="Верхний колонтитул Знак"/>
    <w:basedOn w:val="a1"/>
    <w:link w:val="a7"/>
    <w:uiPriority w:val="99"/>
    <w:rsid w:val="00E34A89"/>
    <w:rPr>
      <w:rFonts w:ascii="Ubuntu Light" w:hAnsi="Ubuntu Light"/>
      <w:sz w:val="28"/>
    </w:rPr>
  </w:style>
  <w:style w:type="paragraph" w:styleId="a9">
    <w:name w:val="footer"/>
    <w:basedOn w:val="a"/>
    <w:link w:val="aa"/>
    <w:uiPriority w:val="99"/>
    <w:unhideWhenUsed/>
    <w:rsid w:val="00E34A89"/>
    <w:pPr>
      <w:tabs>
        <w:tab w:val="center" w:pos="4677"/>
        <w:tab w:val="right" w:pos="9355"/>
      </w:tabs>
    </w:pPr>
  </w:style>
  <w:style w:type="character" w:customStyle="1" w:styleId="aa">
    <w:name w:val="Нижний колонтитул Знак"/>
    <w:basedOn w:val="a1"/>
    <w:link w:val="a9"/>
    <w:uiPriority w:val="99"/>
    <w:rsid w:val="00E34A89"/>
    <w:rPr>
      <w:rFonts w:ascii="Ubuntu Light" w:hAnsi="Ubuntu Light"/>
      <w:sz w:val="28"/>
    </w:rPr>
  </w:style>
  <w:style w:type="character" w:customStyle="1" w:styleId="apple-converted-space">
    <w:name w:val="apple-converted-space"/>
    <w:basedOn w:val="a1"/>
    <w:rsid w:val="00F634C9"/>
  </w:style>
  <w:style w:type="character" w:styleId="ab">
    <w:name w:val="Hyperlink"/>
    <w:basedOn w:val="a1"/>
    <w:uiPriority w:val="99"/>
    <w:unhideWhenUsed/>
    <w:rsid w:val="00F634C9"/>
    <w:rPr>
      <w:color w:val="0000FF"/>
      <w:u w:val="single"/>
    </w:rPr>
  </w:style>
  <w:style w:type="character" w:styleId="ac">
    <w:name w:val="Strong"/>
    <w:basedOn w:val="a1"/>
    <w:uiPriority w:val="22"/>
    <w:qFormat/>
    <w:rsid w:val="003711C1"/>
    <w:rPr>
      <w:b/>
      <w:bCs/>
    </w:rPr>
  </w:style>
  <w:style w:type="paragraph" w:styleId="ad">
    <w:name w:val="Normal (Web)"/>
    <w:basedOn w:val="a"/>
    <w:uiPriority w:val="99"/>
    <w:semiHidden/>
    <w:unhideWhenUsed/>
    <w:rsid w:val="003711C1"/>
    <w:pPr>
      <w:spacing w:before="100" w:beforeAutospacing="1" w:after="100" w:afterAutospacing="1"/>
      <w:ind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89684">
      <w:bodyDiv w:val="1"/>
      <w:marLeft w:val="0"/>
      <w:marRight w:val="0"/>
      <w:marTop w:val="0"/>
      <w:marBottom w:val="0"/>
      <w:divBdr>
        <w:top w:val="none" w:sz="0" w:space="0" w:color="auto"/>
        <w:left w:val="none" w:sz="0" w:space="0" w:color="auto"/>
        <w:bottom w:val="none" w:sz="0" w:space="0" w:color="auto"/>
        <w:right w:val="none" w:sz="0" w:space="0" w:color="auto"/>
      </w:divBdr>
    </w:div>
    <w:div w:id="587276230">
      <w:bodyDiv w:val="1"/>
      <w:marLeft w:val="0"/>
      <w:marRight w:val="0"/>
      <w:marTop w:val="0"/>
      <w:marBottom w:val="0"/>
      <w:divBdr>
        <w:top w:val="none" w:sz="0" w:space="0" w:color="auto"/>
        <w:left w:val="none" w:sz="0" w:space="0" w:color="auto"/>
        <w:bottom w:val="none" w:sz="0" w:space="0" w:color="auto"/>
        <w:right w:val="none" w:sz="0" w:space="0" w:color="auto"/>
      </w:divBdr>
    </w:div>
    <w:div w:id="617027731">
      <w:bodyDiv w:val="1"/>
      <w:marLeft w:val="0"/>
      <w:marRight w:val="0"/>
      <w:marTop w:val="0"/>
      <w:marBottom w:val="0"/>
      <w:divBdr>
        <w:top w:val="none" w:sz="0" w:space="0" w:color="auto"/>
        <w:left w:val="none" w:sz="0" w:space="0" w:color="auto"/>
        <w:bottom w:val="none" w:sz="0" w:space="0" w:color="auto"/>
        <w:right w:val="none" w:sz="0" w:space="0" w:color="auto"/>
      </w:divBdr>
    </w:div>
    <w:div w:id="636304952">
      <w:bodyDiv w:val="1"/>
      <w:marLeft w:val="0"/>
      <w:marRight w:val="0"/>
      <w:marTop w:val="0"/>
      <w:marBottom w:val="0"/>
      <w:divBdr>
        <w:top w:val="none" w:sz="0" w:space="0" w:color="auto"/>
        <w:left w:val="none" w:sz="0" w:space="0" w:color="auto"/>
        <w:bottom w:val="none" w:sz="0" w:space="0" w:color="auto"/>
        <w:right w:val="none" w:sz="0" w:space="0" w:color="auto"/>
      </w:divBdr>
    </w:div>
    <w:div w:id="826944633">
      <w:bodyDiv w:val="1"/>
      <w:marLeft w:val="0"/>
      <w:marRight w:val="0"/>
      <w:marTop w:val="0"/>
      <w:marBottom w:val="0"/>
      <w:divBdr>
        <w:top w:val="none" w:sz="0" w:space="0" w:color="auto"/>
        <w:left w:val="none" w:sz="0" w:space="0" w:color="auto"/>
        <w:bottom w:val="none" w:sz="0" w:space="0" w:color="auto"/>
        <w:right w:val="none" w:sz="0" w:space="0" w:color="auto"/>
      </w:divBdr>
    </w:div>
    <w:div w:id="934166575">
      <w:bodyDiv w:val="1"/>
      <w:marLeft w:val="0"/>
      <w:marRight w:val="0"/>
      <w:marTop w:val="0"/>
      <w:marBottom w:val="0"/>
      <w:divBdr>
        <w:top w:val="none" w:sz="0" w:space="0" w:color="auto"/>
        <w:left w:val="none" w:sz="0" w:space="0" w:color="auto"/>
        <w:bottom w:val="none" w:sz="0" w:space="0" w:color="auto"/>
        <w:right w:val="none" w:sz="0" w:space="0" w:color="auto"/>
      </w:divBdr>
    </w:div>
    <w:div w:id="952328964">
      <w:bodyDiv w:val="1"/>
      <w:marLeft w:val="0"/>
      <w:marRight w:val="0"/>
      <w:marTop w:val="0"/>
      <w:marBottom w:val="0"/>
      <w:divBdr>
        <w:top w:val="none" w:sz="0" w:space="0" w:color="auto"/>
        <w:left w:val="none" w:sz="0" w:space="0" w:color="auto"/>
        <w:bottom w:val="none" w:sz="0" w:space="0" w:color="auto"/>
        <w:right w:val="none" w:sz="0" w:space="0" w:color="auto"/>
      </w:divBdr>
    </w:div>
    <w:div w:id="1163397524">
      <w:bodyDiv w:val="1"/>
      <w:marLeft w:val="0"/>
      <w:marRight w:val="0"/>
      <w:marTop w:val="0"/>
      <w:marBottom w:val="0"/>
      <w:divBdr>
        <w:top w:val="none" w:sz="0" w:space="0" w:color="auto"/>
        <w:left w:val="none" w:sz="0" w:space="0" w:color="auto"/>
        <w:bottom w:val="none" w:sz="0" w:space="0" w:color="auto"/>
        <w:right w:val="none" w:sz="0" w:space="0" w:color="auto"/>
      </w:divBdr>
    </w:div>
    <w:div w:id="1181166937">
      <w:bodyDiv w:val="1"/>
      <w:marLeft w:val="0"/>
      <w:marRight w:val="0"/>
      <w:marTop w:val="0"/>
      <w:marBottom w:val="0"/>
      <w:divBdr>
        <w:top w:val="none" w:sz="0" w:space="0" w:color="auto"/>
        <w:left w:val="none" w:sz="0" w:space="0" w:color="auto"/>
        <w:bottom w:val="none" w:sz="0" w:space="0" w:color="auto"/>
        <w:right w:val="none" w:sz="0" w:space="0" w:color="auto"/>
      </w:divBdr>
    </w:div>
    <w:div w:id="1268998328">
      <w:bodyDiv w:val="1"/>
      <w:marLeft w:val="0"/>
      <w:marRight w:val="0"/>
      <w:marTop w:val="0"/>
      <w:marBottom w:val="0"/>
      <w:divBdr>
        <w:top w:val="none" w:sz="0" w:space="0" w:color="auto"/>
        <w:left w:val="none" w:sz="0" w:space="0" w:color="auto"/>
        <w:bottom w:val="none" w:sz="0" w:space="0" w:color="auto"/>
        <w:right w:val="none" w:sz="0" w:space="0" w:color="auto"/>
      </w:divBdr>
    </w:div>
    <w:div w:id="1294821917">
      <w:bodyDiv w:val="1"/>
      <w:marLeft w:val="0"/>
      <w:marRight w:val="0"/>
      <w:marTop w:val="0"/>
      <w:marBottom w:val="0"/>
      <w:divBdr>
        <w:top w:val="none" w:sz="0" w:space="0" w:color="auto"/>
        <w:left w:val="none" w:sz="0" w:space="0" w:color="auto"/>
        <w:bottom w:val="none" w:sz="0" w:space="0" w:color="auto"/>
        <w:right w:val="none" w:sz="0" w:space="0" w:color="auto"/>
      </w:divBdr>
    </w:div>
    <w:div w:id="1624311229">
      <w:bodyDiv w:val="1"/>
      <w:marLeft w:val="0"/>
      <w:marRight w:val="0"/>
      <w:marTop w:val="0"/>
      <w:marBottom w:val="0"/>
      <w:divBdr>
        <w:top w:val="none" w:sz="0" w:space="0" w:color="auto"/>
        <w:left w:val="none" w:sz="0" w:space="0" w:color="auto"/>
        <w:bottom w:val="none" w:sz="0" w:space="0" w:color="auto"/>
        <w:right w:val="none" w:sz="0" w:space="0" w:color="auto"/>
      </w:divBdr>
    </w:div>
    <w:div w:id="1683897897">
      <w:bodyDiv w:val="1"/>
      <w:marLeft w:val="0"/>
      <w:marRight w:val="0"/>
      <w:marTop w:val="0"/>
      <w:marBottom w:val="0"/>
      <w:divBdr>
        <w:top w:val="none" w:sz="0" w:space="0" w:color="auto"/>
        <w:left w:val="none" w:sz="0" w:space="0" w:color="auto"/>
        <w:bottom w:val="none" w:sz="0" w:space="0" w:color="auto"/>
        <w:right w:val="none" w:sz="0" w:space="0" w:color="auto"/>
      </w:divBdr>
    </w:div>
    <w:div w:id="1739933873">
      <w:bodyDiv w:val="1"/>
      <w:marLeft w:val="0"/>
      <w:marRight w:val="0"/>
      <w:marTop w:val="0"/>
      <w:marBottom w:val="0"/>
      <w:divBdr>
        <w:top w:val="none" w:sz="0" w:space="0" w:color="auto"/>
        <w:left w:val="none" w:sz="0" w:space="0" w:color="auto"/>
        <w:bottom w:val="none" w:sz="0" w:space="0" w:color="auto"/>
        <w:right w:val="none" w:sz="0" w:space="0" w:color="auto"/>
      </w:divBdr>
    </w:div>
    <w:div w:id="2011516400">
      <w:bodyDiv w:val="1"/>
      <w:marLeft w:val="0"/>
      <w:marRight w:val="0"/>
      <w:marTop w:val="0"/>
      <w:marBottom w:val="0"/>
      <w:divBdr>
        <w:top w:val="none" w:sz="0" w:space="0" w:color="auto"/>
        <w:left w:val="none" w:sz="0" w:space="0" w:color="auto"/>
        <w:bottom w:val="none" w:sz="0" w:space="0" w:color="auto"/>
        <w:right w:val="none" w:sz="0" w:space="0" w:color="auto"/>
      </w:divBdr>
    </w:div>
    <w:div w:id="20341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0B75-EE0E-4159-BFEB-A63379B0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1937</Words>
  <Characters>11044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ИТМО</Company>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 Александрович</dc:creator>
  <cp:keywords/>
  <dc:description/>
  <cp:lastModifiedBy>Трофимов Владислав Александрович</cp:lastModifiedBy>
  <cp:revision>27</cp:revision>
  <dcterms:created xsi:type="dcterms:W3CDTF">2014-02-19T15:56:00Z</dcterms:created>
  <dcterms:modified xsi:type="dcterms:W3CDTF">2014-02-25T19:03:00Z</dcterms:modified>
</cp:coreProperties>
</file>