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492A17" w:rsidP="00C83920">
      <w:pPr>
        <w:pStyle w:val="af5"/>
        <w:spacing w:after="840"/>
      </w:pPr>
      <w:permStart w:id="448334288" w:edGrp="everyone"/>
      <w:permEnd w:id="448334288"/>
      <w:r>
        <w:t>Министерство</w:t>
      </w:r>
      <w:r w:rsidRPr="00492A17">
        <w:t xml:space="preserve"> образования и науки Российской Федерации</w:t>
      </w:r>
    </w:p>
    <w:p w:rsidR="00FF4957" w:rsidRPr="001C67A9" w:rsidRDefault="00FF4957" w:rsidP="00C83920">
      <w:pPr>
        <w:pStyle w:val="af5"/>
        <w:spacing w:after="720"/>
      </w:pPr>
      <w:r w:rsidRPr="001C67A9">
        <w:t xml:space="preserve">Санкт-Петербургский </w:t>
      </w:r>
      <w:r w:rsidR="00492A17">
        <w:t>н</w:t>
      </w:r>
      <w:r w:rsidRPr="001C67A9">
        <w:t xml:space="preserve">ациональный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C83920">
      <w:pPr>
        <w:pStyle w:val="af5"/>
        <w:spacing w:after="84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5771FD" w:rsidRDefault="003308E1" w:rsidP="004F1FC4">
      <w:pPr>
        <w:pStyle w:val="af5"/>
      </w:pPr>
      <w:r>
        <w:t>Функциональная модель управления предприятием</w:t>
      </w:r>
      <w:r w:rsidR="005771FD">
        <w:br/>
        <w:t>по теме:</w:t>
      </w:r>
    </w:p>
    <w:p w:rsidR="005771FD" w:rsidRDefault="003308E1" w:rsidP="003308E1">
      <w:pPr>
        <w:pStyle w:val="af5"/>
        <w:spacing w:after="1560"/>
      </w:pPr>
      <w:r>
        <w:t>НЕФТЕГАЗОВАЯ КОМПАНИЯ РОСНЕФТЬ</w:t>
      </w:r>
      <w:r w:rsidR="00EB24B1">
        <w:br/>
        <w:t>(</w:t>
      </w:r>
      <w:r w:rsidR="00037B58">
        <w:t>промежуточный</w:t>
      </w:r>
      <w:r w:rsidR="00EB24B1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  <w:t>подпись, дата</w:t>
      </w:r>
      <w:r>
        <w:tab/>
      </w:r>
    </w:p>
    <w:p w:rsidR="00B756BF" w:rsidRPr="00EB24B1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DA403D" w:rsidRPr="00EB24B1">
        <w:t>2014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7E2B10" w:rsidRDefault="00EC5255" w:rsidP="007E2B10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399979354" w:history="1">
            <w:r w:rsidR="007E2B10" w:rsidRPr="00226901">
              <w:rPr>
                <w:rStyle w:val="a8"/>
                <w:noProof/>
              </w:rPr>
              <w:t>2 НОРМАТИВНЫЕ ССЫЛКИ</w:t>
            </w:r>
            <w:r w:rsidR="007E2B10">
              <w:rPr>
                <w:noProof/>
                <w:webHidden/>
              </w:rPr>
              <w:tab/>
            </w:r>
            <w:r w:rsidR="007E2B10">
              <w:rPr>
                <w:noProof/>
                <w:webHidden/>
              </w:rPr>
              <w:fldChar w:fldCharType="begin"/>
            </w:r>
            <w:r w:rsidR="007E2B10">
              <w:rPr>
                <w:noProof/>
                <w:webHidden/>
              </w:rPr>
              <w:instrText xml:space="preserve"> PAGEREF _Toc399979354 \h </w:instrText>
            </w:r>
            <w:r w:rsidR="007E2B10">
              <w:rPr>
                <w:noProof/>
                <w:webHidden/>
              </w:rPr>
            </w:r>
            <w:r w:rsidR="007E2B10">
              <w:rPr>
                <w:noProof/>
                <w:webHidden/>
              </w:rPr>
              <w:fldChar w:fldCharType="separate"/>
            </w:r>
            <w:r w:rsidR="00B92458">
              <w:rPr>
                <w:noProof/>
                <w:webHidden/>
              </w:rPr>
              <w:t>3</w:t>
            </w:r>
            <w:r w:rsidR="007E2B10">
              <w:rPr>
                <w:noProof/>
                <w:webHidden/>
              </w:rPr>
              <w:fldChar w:fldCharType="end"/>
            </w:r>
          </w:hyperlink>
        </w:p>
        <w:p w:rsidR="007E2B10" w:rsidRDefault="009A7DCF" w:rsidP="007E2B10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9979355" w:history="1">
            <w:r w:rsidR="007E2B10" w:rsidRPr="00226901">
              <w:rPr>
                <w:rStyle w:val="a8"/>
                <w:noProof/>
              </w:rPr>
              <w:t>3 ОПРЕДЕЛЕНИЯ</w:t>
            </w:r>
            <w:r w:rsidR="007E2B10">
              <w:rPr>
                <w:noProof/>
                <w:webHidden/>
              </w:rPr>
              <w:tab/>
            </w:r>
            <w:r w:rsidR="007E2B10">
              <w:rPr>
                <w:noProof/>
                <w:webHidden/>
              </w:rPr>
              <w:fldChar w:fldCharType="begin"/>
            </w:r>
            <w:r w:rsidR="007E2B10">
              <w:rPr>
                <w:noProof/>
                <w:webHidden/>
              </w:rPr>
              <w:instrText xml:space="preserve"> PAGEREF _Toc399979355 \h </w:instrText>
            </w:r>
            <w:r w:rsidR="007E2B10">
              <w:rPr>
                <w:noProof/>
                <w:webHidden/>
              </w:rPr>
            </w:r>
            <w:r w:rsidR="007E2B10">
              <w:rPr>
                <w:noProof/>
                <w:webHidden/>
              </w:rPr>
              <w:fldChar w:fldCharType="separate"/>
            </w:r>
            <w:r w:rsidR="00B92458">
              <w:rPr>
                <w:noProof/>
                <w:webHidden/>
              </w:rPr>
              <w:t>4</w:t>
            </w:r>
            <w:r w:rsidR="007E2B10">
              <w:rPr>
                <w:noProof/>
                <w:webHidden/>
              </w:rPr>
              <w:fldChar w:fldCharType="end"/>
            </w:r>
          </w:hyperlink>
        </w:p>
        <w:p w:rsidR="007E2B10" w:rsidRDefault="009A7DCF" w:rsidP="007E2B10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9979356" w:history="1">
            <w:r w:rsidR="007E2B10" w:rsidRPr="00226901">
              <w:rPr>
                <w:rStyle w:val="a8"/>
                <w:noProof/>
              </w:rPr>
              <w:t>4 ВВЕДЕНИЕ</w:t>
            </w:r>
            <w:r w:rsidR="007E2B10">
              <w:rPr>
                <w:noProof/>
                <w:webHidden/>
              </w:rPr>
              <w:tab/>
            </w:r>
            <w:r w:rsidR="007E2B10">
              <w:rPr>
                <w:noProof/>
                <w:webHidden/>
              </w:rPr>
              <w:fldChar w:fldCharType="begin"/>
            </w:r>
            <w:r w:rsidR="007E2B10">
              <w:rPr>
                <w:noProof/>
                <w:webHidden/>
              </w:rPr>
              <w:instrText xml:space="preserve"> PAGEREF _Toc399979356 \h </w:instrText>
            </w:r>
            <w:r w:rsidR="007E2B10">
              <w:rPr>
                <w:noProof/>
                <w:webHidden/>
              </w:rPr>
            </w:r>
            <w:r w:rsidR="007E2B10">
              <w:rPr>
                <w:noProof/>
                <w:webHidden/>
              </w:rPr>
              <w:fldChar w:fldCharType="separate"/>
            </w:r>
            <w:r w:rsidR="00B92458">
              <w:rPr>
                <w:noProof/>
                <w:webHidden/>
              </w:rPr>
              <w:t>7</w:t>
            </w:r>
            <w:r w:rsidR="007E2B10">
              <w:rPr>
                <w:noProof/>
                <w:webHidden/>
              </w:rPr>
              <w:fldChar w:fldCharType="end"/>
            </w:r>
          </w:hyperlink>
        </w:p>
        <w:p w:rsidR="007E2B10" w:rsidRDefault="009A7DCF" w:rsidP="007E2B10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9979357" w:history="1">
            <w:r w:rsidR="007E2B10" w:rsidRPr="00226901">
              <w:rPr>
                <w:rStyle w:val="a8"/>
                <w:noProof/>
              </w:rPr>
              <w:t>5 ОСНОВНАЯ ЧАСТЬ</w:t>
            </w:r>
            <w:r w:rsidR="007E2B10">
              <w:rPr>
                <w:noProof/>
                <w:webHidden/>
              </w:rPr>
              <w:tab/>
            </w:r>
            <w:r w:rsidR="007E2B10">
              <w:rPr>
                <w:noProof/>
                <w:webHidden/>
              </w:rPr>
              <w:fldChar w:fldCharType="begin"/>
            </w:r>
            <w:r w:rsidR="007E2B10">
              <w:rPr>
                <w:noProof/>
                <w:webHidden/>
              </w:rPr>
              <w:instrText xml:space="preserve"> PAGEREF _Toc399979357 \h </w:instrText>
            </w:r>
            <w:r w:rsidR="007E2B10">
              <w:rPr>
                <w:noProof/>
                <w:webHidden/>
              </w:rPr>
            </w:r>
            <w:r w:rsidR="007E2B10">
              <w:rPr>
                <w:noProof/>
                <w:webHidden/>
              </w:rPr>
              <w:fldChar w:fldCharType="separate"/>
            </w:r>
            <w:r w:rsidR="00B92458">
              <w:rPr>
                <w:noProof/>
                <w:webHidden/>
              </w:rPr>
              <w:t>8</w:t>
            </w:r>
            <w:r w:rsidR="007E2B10">
              <w:rPr>
                <w:noProof/>
                <w:webHidden/>
              </w:rPr>
              <w:fldChar w:fldCharType="end"/>
            </w:r>
          </w:hyperlink>
        </w:p>
        <w:p w:rsidR="007E2B10" w:rsidRDefault="009A7DCF" w:rsidP="007E2B10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399979358" w:history="1">
            <w:r w:rsidR="007E2B10" w:rsidRPr="00226901">
              <w:rPr>
                <w:rStyle w:val="a8"/>
                <w:noProof/>
              </w:rPr>
              <w:t>5.1. Описание заданного предприятия</w:t>
            </w:r>
            <w:r w:rsidR="007E2B10">
              <w:rPr>
                <w:noProof/>
                <w:webHidden/>
              </w:rPr>
              <w:tab/>
            </w:r>
            <w:r w:rsidR="007E2B10">
              <w:rPr>
                <w:noProof/>
                <w:webHidden/>
              </w:rPr>
              <w:fldChar w:fldCharType="begin"/>
            </w:r>
            <w:r w:rsidR="007E2B10">
              <w:rPr>
                <w:noProof/>
                <w:webHidden/>
              </w:rPr>
              <w:instrText xml:space="preserve"> PAGEREF _Toc399979358 \h </w:instrText>
            </w:r>
            <w:r w:rsidR="007E2B10">
              <w:rPr>
                <w:noProof/>
                <w:webHidden/>
              </w:rPr>
            </w:r>
            <w:r w:rsidR="007E2B10">
              <w:rPr>
                <w:noProof/>
                <w:webHidden/>
              </w:rPr>
              <w:fldChar w:fldCharType="separate"/>
            </w:r>
            <w:r w:rsidR="00B92458">
              <w:rPr>
                <w:noProof/>
                <w:webHidden/>
              </w:rPr>
              <w:t>8</w:t>
            </w:r>
            <w:r w:rsidR="007E2B10">
              <w:rPr>
                <w:noProof/>
                <w:webHidden/>
              </w:rPr>
              <w:fldChar w:fldCharType="end"/>
            </w:r>
          </w:hyperlink>
        </w:p>
        <w:p w:rsidR="007E2B10" w:rsidRDefault="009A7DCF" w:rsidP="007E2B10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399979359" w:history="1">
            <w:r w:rsidR="007E2B10" w:rsidRPr="00226901">
              <w:rPr>
                <w:rStyle w:val="a8"/>
                <w:noProof/>
              </w:rPr>
              <w:t>5.2. Функциональная модель управления предприятием</w:t>
            </w:r>
            <w:r w:rsidR="007E2B10">
              <w:rPr>
                <w:noProof/>
                <w:webHidden/>
              </w:rPr>
              <w:tab/>
            </w:r>
            <w:r w:rsidR="007E2B10">
              <w:rPr>
                <w:noProof/>
                <w:webHidden/>
              </w:rPr>
              <w:fldChar w:fldCharType="begin"/>
            </w:r>
            <w:r w:rsidR="007E2B10">
              <w:rPr>
                <w:noProof/>
                <w:webHidden/>
              </w:rPr>
              <w:instrText xml:space="preserve"> PAGEREF _Toc399979359 \h </w:instrText>
            </w:r>
            <w:r w:rsidR="007E2B10">
              <w:rPr>
                <w:noProof/>
                <w:webHidden/>
              </w:rPr>
            </w:r>
            <w:r w:rsidR="007E2B10">
              <w:rPr>
                <w:noProof/>
                <w:webHidden/>
              </w:rPr>
              <w:fldChar w:fldCharType="separate"/>
            </w:r>
            <w:r w:rsidR="00B92458">
              <w:rPr>
                <w:noProof/>
                <w:webHidden/>
              </w:rPr>
              <w:t>8</w:t>
            </w:r>
            <w:r w:rsidR="007E2B10"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9F3476">
          <w:pPr>
            <w:pStyle w:val="21"/>
            <w:ind w:firstLine="0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399979354"/>
      <w:r>
        <w:rPr>
          <w:rFonts w:eastAsiaTheme="minorEastAsia"/>
        </w:rPr>
        <w:lastRenderedPageBreak/>
        <w:t>2 НОРМАТИВНЫЕ ССЫЛКИ</w:t>
      </w:r>
      <w:bookmarkEnd w:id="0"/>
    </w:p>
    <w:p w:rsidR="00D1781D" w:rsidRPr="00D1781D" w:rsidRDefault="000E44F4" w:rsidP="00D1781D">
      <w:pPr>
        <w:pStyle w:val="a"/>
        <w:rPr>
          <w:rStyle w:val="a7"/>
          <w:i w:val="0"/>
          <w:iCs w:val="0"/>
        </w:rPr>
      </w:pPr>
      <w:bookmarkStart w:id="1" w:name="_Toc398134985"/>
      <w:r w:rsidRPr="00D1781D">
        <w:t>ГОСТ Р МЭК 62264-1-2010</w:t>
      </w:r>
      <w:r w:rsidR="005C7511" w:rsidRPr="00D1781D">
        <w:rPr>
          <w:rStyle w:val="a7"/>
          <w:i w:val="0"/>
          <w:iCs w:val="0"/>
        </w:rPr>
        <w:t xml:space="preserve">. </w:t>
      </w:r>
      <w:r w:rsidRPr="00D1781D">
        <w:rPr>
          <w:rStyle w:val="a7"/>
          <w:i w:val="0"/>
          <w:iCs w:val="0"/>
        </w:rPr>
        <w:t>Интеграция систем управления предприятием. Модели и терминология</w:t>
      </w:r>
      <w:r w:rsidR="006E2DB9" w:rsidRPr="00D1781D">
        <w:rPr>
          <w:rStyle w:val="a7"/>
          <w:i w:val="0"/>
          <w:iCs w:val="0"/>
        </w:rPr>
        <w:t>.</w:t>
      </w:r>
      <w:r w:rsidR="00B754F6" w:rsidRPr="00D1781D">
        <w:rPr>
          <w:rStyle w:val="a7"/>
          <w:i w:val="0"/>
          <w:iCs w:val="0"/>
        </w:rPr>
        <w:t xml:space="preserve"> </w:t>
      </w:r>
      <w:bookmarkStart w:id="2" w:name="_Toc398134987"/>
      <w:bookmarkEnd w:id="1"/>
      <w:r w:rsidR="00D1781D" w:rsidRPr="00D1781D">
        <w:rPr>
          <w:rStyle w:val="a7"/>
          <w:i w:val="0"/>
          <w:iCs w:val="0"/>
        </w:rPr>
        <w:fldChar w:fldCharType="begin"/>
      </w:r>
      <w:r w:rsidR="00D1781D" w:rsidRPr="00D1781D">
        <w:rPr>
          <w:rStyle w:val="a7"/>
          <w:i w:val="0"/>
          <w:iCs w:val="0"/>
        </w:rPr>
        <w:instrText xml:space="preserve"> HYPERLINK "</w:instrText>
      </w:r>
      <w:r w:rsidR="00D1781D" w:rsidRPr="00D1781D">
        <w:instrText>http://docs.cntd.ru/document/1200101687</w:instrText>
      </w:r>
      <w:r w:rsidR="00D1781D" w:rsidRPr="00D1781D">
        <w:rPr>
          <w:rStyle w:val="a7"/>
          <w:i w:val="0"/>
          <w:iCs w:val="0"/>
        </w:rPr>
        <w:instrText xml:space="preserve">" </w:instrText>
      </w:r>
      <w:r w:rsidR="00D1781D" w:rsidRPr="00D1781D">
        <w:rPr>
          <w:rStyle w:val="a7"/>
          <w:i w:val="0"/>
          <w:iCs w:val="0"/>
        </w:rPr>
        <w:fldChar w:fldCharType="separate"/>
      </w:r>
      <w:r w:rsidR="00D1781D" w:rsidRPr="00D1781D">
        <w:t>http://docs.cntd.ru/document/1200101687</w:t>
      </w:r>
      <w:r w:rsidR="00D1781D" w:rsidRPr="00D1781D">
        <w:rPr>
          <w:rStyle w:val="a7"/>
          <w:i w:val="0"/>
          <w:iCs w:val="0"/>
        </w:rPr>
        <w:fldChar w:fldCharType="end"/>
      </w:r>
    </w:p>
    <w:p w:rsidR="003F434C" w:rsidRPr="003F434C" w:rsidRDefault="003F434C" w:rsidP="003F434C">
      <w:pPr>
        <w:pStyle w:val="a"/>
        <w:rPr>
          <w:rStyle w:val="a7"/>
          <w:i w:val="0"/>
          <w:iCs w:val="0"/>
        </w:rPr>
      </w:pPr>
      <w:r w:rsidRPr="003F434C">
        <w:rPr>
          <w:rStyle w:val="a7"/>
          <w:i w:val="0"/>
          <w:iCs w:val="0"/>
        </w:rPr>
        <w:t>Операционная структура компании</w:t>
      </w:r>
      <w:r>
        <w:rPr>
          <w:rStyle w:val="a7"/>
          <w:i w:val="0"/>
          <w:iCs w:val="0"/>
        </w:rPr>
        <w:t>.</w:t>
      </w:r>
      <w:r w:rsidRPr="003F434C">
        <w:rPr>
          <w:rStyle w:val="a7"/>
          <w:i w:val="0"/>
          <w:iCs w:val="0"/>
        </w:rPr>
        <w:t xml:space="preserve"> </w:t>
      </w:r>
      <w:hyperlink r:id="rId8" w:history="1">
        <w:r w:rsidRPr="003F434C">
          <w:t>http://www.rosneft.ru/about/Glance/OperationalStructure</w:t>
        </w:r>
      </w:hyperlink>
    </w:p>
    <w:p w:rsidR="00CB3345" w:rsidRPr="003F434C" w:rsidRDefault="003F434C" w:rsidP="00BB4058">
      <w:pPr>
        <w:pStyle w:val="a"/>
        <w:rPr>
          <w:rFonts w:cs="Times New Roman"/>
        </w:rPr>
      </w:pPr>
      <w:r w:rsidRPr="003F434C">
        <w:rPr>
          <w:rStyle w:val="a7"/>
          <w:i w:val="0"/>
          <w:iCs w:val="0"/>
        </w:rPr>
        <w:t xml:space="preserve">Устав и внутренние документы компании </w:t>
      </w:r>
      <w:hyperlink r:id="rId9" w:history="1">
        <w:r w:rsidRPr="003F434C">
          <w:t>http://www.rosneft.ru/Investors/corpgov/</w:t>
        </w:r>
      </w:hyperlink>
      <w:r w:rsidR="00CB3345" w:rsidRPr="003F434C">
        <w:rPr>
          <w:b/>
          <w:bCs/>
        </w:rPr>
        <w:br w:type="page"/>
      </w:r>
    </w:p>
    <w:p w:rsidR="00B754F6" w:rsidRDefault="00D92FF2" w:rsidP="009A4783">
      <w:pPr>
        <w:pStyle w:val="1"/>
        <w:rPr>
          <w:rFonts w:eastAsiaTheme="minorEastAsia"/>
        </w:rPr>
      </w:pPr>
      <w:bookmarkStart w:id="3" w:name="_Toc399979355"/>
      <w:bookmarkEnd w:id="2"/>
      <w:r w:rsidRPr="00D92FF2">
        <w:rPr>
          <w:rFonts w:eastAsiaTheme="minorEastAsia"/>
        </w:rPr>
        <w:lastRenderedPageBreak/>
        <w:t>3 ОПРЕДЕЛЕНИЯ</w:t>
      </w:r>
      <w:bookmarkEnd w:id="3"/>
    </w:p>
    <w:p w:rsidR="005F1C3C" w:rsidRDefault="005F1C3C" w:rsidP="005F1C3C">
      <w:r w:rsidRPr="005F1C3C">
        <w:t>В настоящем отчете о НИР применяют следующие термины с соответствующими определениями:</w:t>
      </w:r>
    </w:p>
    <w:p w:rsidR="0016579A" w:rsidRDefault="0016579A" w:rsidP="0016579A">
      <w:r w:rsidRPr="0016579A">
        <w:rPr>
          <w:i/>
        </w:rPr>
        <w:t>Ведомости на дефектные готовые изделия</w:t>
      </w:r>
      <w:r>
        <w:t>: Документы, разрешающие использование материалов и деталей, не полностью соответствующих требованиям технических условий.</w:t>
      </w:r>
    </w:p>
    <w:p w:rsidR="0016579A" w:rsidRDefault="0016579A" w:rsidP="0016579A">
      <w:r w:rsidRPr="0016579A">
        <w:rPr>
          <w:i/>
        </w:rPr>
        <w:t>Ведомость материалов</w:t>
      </w:r>
      <w:r>
        <w:t>: Полный список сборочных узлов, деталей или материалов, которые используют при выпуске промышленного изделия, с указанием необходимого количества по каждой позиции.</w:t>
      </w:r>
    </w:p>
    <w:p w:rsidR="0016579A" w:rsidRDefault="0016579A" w:rsidP="0016579A">
      <w:r w:rsidRPr="0016579A">
        <w:rPr>
          <w:i/>
        </w:rPr>
        <w:t>Внутренние запросы дефектных ведомостей</w:t>
      </w:r>
      <w:r>
        <w:t>: Запросы на дефектные ведомости при нормальном ходе производственных операций, возникающие из-за отклонений от нормы характеристик материалов, оборудования или показателей качества в тех случаях, когда соблюдаются установленные требования спецификаций.</w:t>
      </w:r>
    </w:p>
    <w:p w:rsidR="0016579A" w:rsidRDefault="0016579A" w:rsidP="0016579A">
      <w:r w:rsidRPr="0016579A">
        <w:rPr>
          <w:i/>
        </w:rPr>
        <w:t>Гибкий производственный модуль</w:t>
      </w:r>
      <w:r>
        <w:t>: Совокупность разнородных агрегатов, сгруппированных вместе для изготовления семейства деталей с одинаковыми требованиями к технологической обработке.</w:t>
      </w:r>
    </w:p>
    <w:p w:rsidR="0016579A" w:rsidRDefault="0016579A" w:rsidP="0016579A">
      <w:r w:rsidRPr="0016579A">
        <w:rPr>
          <w:i/>
        </w:rPr>
        <w:t>Домен управления производственными операциями</w:t>
      </w:r>
      <w:r>
        <w:t>: Домен, охватывающий все операции уровня 3 и информационные потоки, перетекающие на уровни и с уровней 0, 1, 2 через границу на уровень 4.</w:t>
      </w:r>
    </w:p>
    <w:p w:rsidR="0016579A" w:rsidRDefault="0016579A" w:rsidP="0016579A">
      <w:r w:rsidRPr="0016579A">
        <w:rPr>
          <w:i/>
        </w:rPr>
        <w:t>Домен управления</w:t>
      </w:r>
      <w:r>
        <w:t>: В рамках настоящего стандарта домен управления ассоциируется с доменом управления производственными операциями.</w:t>
      </w:r>
    </w:p>
    <w:p w:rsidR="0016579A" w:rsidRDefault="0016579A" w:rsidP="0016579A">
      <w:r w:rsidRPr="0016579A">
        <w:rPr>
          <w:i/>
        </w:rPr>
        <w:t>Доступная мощность</w:t>
      </w:r>
      <w:r>
        <w:t>: Производственная мощность, которая могла бы быть использована, но пока не доступна для выпуска текущей или будущей продукции.</w:t>
      </w:r>
    </w:p>
    <w:p w:rsidR="0016579A" w:rsidRDefault="0016579A" w:rsidP="0016579A">
      <w:r w:rsidRPr="0016579A">
        <w:rPr>
          <w:i/>
        </w:rPr>
        <w:t>Завершенная в производстве продукция</w:t>
      </w:r>
      <w:r>
        <w:t>: Готовые изделия, прошедшие все производственные операции обработки.</w:t>
      </w:r>
    </w:p>
    <w:p w:rsidR="0016579A" w:rsidRDefault="0016579A" w:rsidP="0016579A">
      <w:r w:rsidRPr="0016579A">
        <w:rPr>
          <w:i/>
        </w:rPr>
        <w:t>Зафиксированная производительность</w:t>
      </w:r>
      <w:r>
        <w:t>: Используемый или запланированный к использованию показатель производительности.</w:t>
      </w:r>
    </w:p>
    <w:p w:rsidR="0016579A" w:rsidRDefault="0016579A" w:rsidP="0016579A">
      <w:r w:rsidRPr="0016579A">
        <w:rPr>
          <w:i/>
        </w:rPr>
        <w:t>Инструкция по изготовлению изделия</w:t>
      </w:r>
      <w:r>
        <w:t>: Информация, используемая для определения операций по изготовлению конкретной продукции.</w:t>
      </w:r>
    </w:p>
    <w:p w:rsidR="0016579A" w:rsidRDefault="0016579A" w:rsidP="0016579A">
      <w:r w:rsidRPr="0016579A">
        <w:rPr>
          <w:i/>
        </w:rPr>
        <w:t>Категория персонала; класс персонала</w:t>
      </w:r>
      <w:r>
        <w:t>: Параметр группировки персонала со сходными характеристиками для целей календарного и объемного планирования производства.</w:t>
      </w:r>
    </w:p>
    <w:p w:rsidR="0016579A" w:rsidRDefault="0016579A" w:rsidP="0016579A">
      <w:r w:rsidRPr="0016579A">
        <w:rPr>
          <w:i/>
        </w:rPr>
        <w:t>Класс материалов</w:t>
      </w:r>
      <w:r>
        <w:t>: Критерий группировки материалов со сходными характеристиками для целей объемного и календарного планирования производства.</w:t>
      </w:r>
    </w:p>
    <w:p w:rsidR="0016579A" w:rsidRDefault="0016579A" w:rsidP="0016579A">
      <w:r w:rsidRPr="0016579A">
        <w:rPr>
          <w:i/>
        </w:rPr>
        <w:t>Класс оборудования</w:t>
      </w:r>
      <w:r>
        <w:t>: Критерий группировки оборудования со сходными характеристиками для целей объемного и календарного планирования производства.</w:t>
      </w:r>
    </w:p>
    <w:p w:rsidR="0016579A" w:rsidRDefault="0016579A" w:rsidP="0016579A">
      <w:r w:rsidRPr="0016579A">
        <w:rPr>
          <w:i/>
        </w:rPr>
        <w:lastRenderedPageBreak/>
        <w:t>Коносамент; транспортная накладная</w:t>
      </w:r>
      <w:r>
        <w:t>: Договор или квитанция на перевозку товаров, которые перевозчик согласен транспортировать из одного места в другое и доставить определенному получателю или в указанный пункт назначения за вознаграждение на оговоренных в документе условиях.</w:t>
      </w:r>
    </w:p>
    <w:p w:rsidR="0016579A" w:rsidRDefault="0016579A" w:rsidP="0016579A">
      <w:r w:rsidRPr="0016579A">
        <w:rPr>
          <w:i/>
        </w:rPr>
        <w:t>Недоступная производственная возможность</w:t>
      </w:r>
      <w:r>
        <w:t>: Существующая производственная возможность, которая недоступна для использования.</w:t>
      </w:r>
    </w:p>
    <w:p w:rsidR="0016579A" w:rsidRDefault="0016579A" w:rsidP="0016579A">
      <w:r w:rsidRPr="0016579A">
        <w:rPr>
          <w:i/>
        </w:rPr>
        <w:t>Номенклатура ресурсов</w:t>
      </w:r>
      <w:r>
        <w:t>: Полный список ресурсов, потребляемых при выпуске промышленного изделия, с указанием времени и места их использования в производственном процессе.</w:t>
      </w:r>
    </w:p>
    <w:p w:rsidR="0016579A" w:rsidRDefault="0016579A" w:rsidP="0016579A">
      <w:r w:rsidRPr="0016579A">
        <w:rPr>
          <w:i/>
        </w:rPr>
        <w:t>Описание материала</w:t>
      </w:r>
      <w:r>
        <w:t>: Определение свойств и характеристик вещественной субстанции.</w:t>
      </w:r>
    </w:p>
    <w:p w:rsidR="0016579A" w:rsidRDefault="0016579A" w:rsidP="0016579A">
      <w:r w:rsidRPr="0016579A">
        <w:rPr>
          <w:i/>
        </w:rPr>
        <w:t>Партия сырья</w:t>
      </w:r>
      <w:r>
        <w:t>: Однозначно идентифицируемая порция материала.</w:t>
      </w:r>
    </w:p>
    <w:p w:rsidR="0016579A" w:rsidRPr="0016579A" w:rsidRDefault="0016579A" w:rsidP="0016579A">
      <w:r w:rsidRPr="0016579A">
        <w:rPr>
          <w:i/>
        </w:rPr>
        <w:t>Подпартия изделий</w:t>
      </w:r>
      <w:r>
        <w:t>: Однозначно идентифицируемое подмножество изделий из конкретной партии, характеризуемое количеством и местонахождением.</w:t>
      </w:r>
    </w:p>
    <w:p w:rsidR="0016579A" w:rsidRDefault="0016579A" w:rsidP="0016579A">
      <w:r w:rsidRPr="0016579A">
        <w:rPr>
          <w:i/>
        </w:rPr>
        <w:t>Предприятие</w:t>
      </w:r>
      <w:r>
        <w:t>: Одна или несколько организаций, имеющих определенное назначение, общие цели и задачи по выпуску конкретной продукции или предоставлению определенных услуг.</w:t>
      </w:r>
    </w:p>
    <w:p w:rsidR="0016579A" w:rsidRDefault="0016579A" w:rsidP="0016579A">
      <w:r w:rsidRPr="0016579A">
        <w:rPr>
          <w:i/>
        </w:rPr>
        <w:t>Производительность</w:t>
      </w:r>
      <w:r>
        <w:t>: Мера способности к выполнению определенных функций, элемент оценки способностей.</w:t>
      </w:r>
    </w:p>
    <w:p w:rsidR="0016579A" w:rsidRPr="0016579A" w:rsidRDefault="0016579A" w:rsidP="0016579A">
      <w:r w:rsidRPr="0016579A">
        <w:rPr>
          <w:i/>
        </w:rPr>
        <w:t>Производственная мощность</w:t>
      </w:r>
      <w:r>
        <w:t>: Совокупность ресурсов, обеспечивающая возможность выпуска продукции предприятием.</w:t>
      </w:r>
    </w:p>
    <w:p w:rsidR="0016579A" w:rsidRDefault="0016579A" w:rsidP="0016579A">
      <w:r w:rsidRPr="0016579A">
        <w:rPr>
          <w:i/>
        </w:rPr>
        <w:t>Производственная установка</w:t>
      </w:r>
      <w:r>
        <w:t>: Совокупность производственных агрегатов, обеспечивающая преобразование, разделение или реагирование одного или нескольких исходных материалов для получения полуфабрикатов или готовой продукции.</w:t>
      </w:r>
    </w:p>
    <w:p w:rsidR="0016579A" w:rsidRDefault="0016579A" w:rsidP="0016579A">
      <w:r w:rsidRPr="0016579A">
        <w:rPr>
          <w:i/>
        </w:rPr>
        <w:t>Протокол анализа; сертификат анализа</w:t>
      </w:r>
      <w:r>
        <w:t>: Документ, подтверждающий соответствие стандартам качества или техническим условиям на изделия или материалы.</w:t>
      </w:r>
    </w:p>
    <w:p w:rsidR="0016579A" w:rsidRDefault="0016579A" w:rsidP="0016579A">
      <w:r w:rsidRPr="0016579A">
        <w:rPr>
          <w:i/>
        </w:rPr>
        <w:t>Расходные материалы</w:t>
      </w:r>
      <w:r>
        <w:t>: Ресурсы, которые обычно не включают в ведомости материалов и не учитывают отдельной строкой в конкретных производственных заявках.</w:t>
      </w:r>
    </w:p>
    <w:p w:rsidR="0016579A" w:rsidRDefault="0016579A" w:rsidP="0016579A">
      <w:r w:rsidRPr="0016579A">
        <w:rPr>
          <w:i/>
        </w:rPr>
        <w:t>Ресурс</w:t>
      </w:r>
      <w:r>
        <w:t>: Объект хозяйственной деятельности, обеспечивающий использование некоторых или всех производственных возможностей, требуемых для осуществления функций предприятия или реализации бизнес-процессов (в контексте данного стандарта – это совокупность персонала, оборудования и исходных материалов).</w:t>
      </w:r>
    </w:p>
    <w:p w:rsidR="0016579A" w:rsidRPr="0016579A" w:rsidRDefault="0016579A" w:rsidP="0016579A">
      <w:r w:rsidRPr="0016579A">
        <w:rPr>
          <w:i/>
        </w:rPr>
        <w:t>Сегмент технологического процесса</w:t>
      </w:r>
      <w:r>
        <w:t xml:space="preserve">: He зависящее от какой-либо конкретной продукции представление совокупности ресурсов, необходимых для участка производства, </w:t>
      </w:r>
      <w:r>
        <w:lastRenderedPageBreak/>
        <w:t>со степенью детализации, требуемой для поддержки бизнес-процессов, которые тоже могут не иметь привязки к конкретной продукции.</w:t>
      </w:r>
    </w:p>
    <w:p w:rsidR="0016579A" w:rsidRDefault="0016579A" w:rsidP="0016579A">
      <w:r w:rsidRPr="0016579A">
        <w:rPr>
          <w:i/>
        </w:rPr>
        <w:t>Сегменты производственного процесса</w:t>
      </w:r>
      <w:r>
        <w:t>: Информационные объекты, фигурирующие одновременно в спецификации ресурсов и в инструкции по изготовлению конкретного изделия.</w:t>
      </w:r>
    </w:p>
    <w:p w:rsidR="0016579A" w:rsidRDefault="0016579A" w:rsidP="0016579A">
      <w:r w:rsidRPr="0016579A">
        <w:rPr>
          <w:i/>
        </w:rPr>
        <w:t>Способность; возможность</w:t>
      </w:r>
      <w:r>
        <w:t>: Способность к выполнению действий, характеризуемая определенной квалификацией и мерой производительности.</w:t>
      </w:r>
    </w:p>
    <w:p w:rsidR="0016579A" w:rsidRDefault="0016579A" w:rsidP="0016579A">
      <w:r w:rsidRPr="0016579A">
        <w:rPr>
          <w:i/>
        </w:rPr>
        <w:t>Технологическая линия</w:t>
      </w:r>
      <w:r>
        <w:t>: Цепочка агрегатов, предназначенная для выпуска изделий определенной номенклатуры или определенного модельного ряда.</w:t>
      </w:r>
    </w:p>
    <w:p w:rsidR="0016579A" w:rsidRDefault="0016579A" w:rsidP="0016579A">
      <w:r w:rsidRPr="0016579A">
        <w:rPr>
          <w:i/>
        </w:rPr>
        <w:t>Управление производством</w:t>
      </w:r>
      <w:r>
        <w:t>: Совокупность функций, обеспечивающая эффективную организацию производства в масштабах всего предприятия или производственного участка.</w:t>
      </w:r>
    </w:p>
    <w:p w:rsidR="0016579A" w:rsidRDefault="0016579A" w:rsidP="0016579A">
      <w:r w:rsidRPr="0016579A">
        <w:rPr>
          <w:i/>
        </w:rPr>
        <w:t>Участок; область</w:t>
      </w:r>
      <w:r>
        <w:t>: Физическая, территориальная или логическая группировка, определяемая своим местоположением.</w:t>
      </w:r>
    </w:p>
    <w:p w:rsidR="0016579A" w:rsidRDefault="0016579A">
      <w:pPr>
        <w:spacing w:after="200" w:line="276" w:lineRule="auto"/>
        <w:ind w:firstLine="0"/>
        <w:jc w:val="left"/>
      </w:pPr>
      <w:r>
        <w:br w:type="page"/>
      </w:r>
    </w:p>
    <w:p w:rsidR="00D92FF2" w:rsidRDefault="00D92FF2" w:rsidP="00572E8F">
      <w:pPr>
        <w:pStyle w:val="1"/>
        <w:rPr>
          <w:rFonts w:eastAsiaTheme="minorEastAsia"/>
          <w:b/>
        </w:rPr>
      </w:pPr>
      <w:bookmarkStart w:id="4" w:name="_Toc399979356"/>
      <w:r w:rsidRPr="00D92FF2">
        <w:rPr>
          <w:rFonts w:eastAsiaTheme="minorEastAsia"/>
        </w:rPr>
        <w:lastRenderedPageBreak/>
        <w:t>4 ВВЕДЕНИЕ</w:t>
      </w:r>
      <w:bookmarkEnd w:id="4"/>
    </w:p>
    <w:p w:rsidR="000F5668" w:rsidRDefault="007F2FE0" w:rsidP="00D86833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с методиками поиска и структурирования справочной информации на примере ознакомления со структурой и содержанием </w:t>
      </w:r>
      <w:r w:rsidR="000F5668" w:rsidRPr="000F5668">
        <w:rPr>
          <w:lang w:eastAsia="ru-RU"/>
        </w:rPr>
        <w:t>ГОСТ Р МЭК 62264-1-2010 (</w:t>
      </w:r>
      <w:r w:rsidR="000F5668">
        <w:rPr>
          <w:lang w:eastAsia="ru-RU"/>
        </w:rPr>
        <w:t>ИСА-95</w:t>
      </w:r>
      <w:r w:rsidR="000F5668" w:rsidRPr="000F5668">
        <w:rPr>
          <w:lang w:eastAsia="ru-RU"/>
        </w:rPr>
        <w:t>)</w:t>
      </w:r>
      <w:r w:rsidR="000F5668">
        <w:rPr>
          <w:lang w:eastAsia="ru-RU"/>
        </w:rPr>
        <w:t>, а также построение функциональной модели заданного предприятия согласно этому ГОСТу</w:t>
      </w:r>
      <w:r>
        <w:rPr>
          <w:lang w:eastAsia="ru-RU"/>
        </w:rPr>
        <w:t>.</w:t>
      </w:r>
    </w:p>
    <w:p w:rsidR="000F5668" w:rsidRDefault="000F5668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D92FF2" w:rsidRDefault="00D92FF2" w:rsidP="00D86833">
      <w:pPr>
        <w:pStyle w:val="1"/>
        <w:rPr>
          <w:rFonts w:eastAsiaTheme="minorEastAsia"/>
        </w:rPr>
      </w:pPr>
      <w:bookmarkStart w:id="5" w:name="_Toc399979357"/>
      <w:r w:rsidRPr="00D92FF2">
        <w:rPr>
          <w:rFonts w:eastAsiaTheme="minorEastAsia"/>
        </w:rPr>
        <w:lastRenderedPageBreak/>
        <w:t>5 ОСНОВНАЯ ЧАСТЬ</w:t>
      </w:r>
      <w:bookmarkEnd w:id="5"/>
    </w:p>
    <w:p w:rsidR="000D3858" w:rsidRDefault="000D3858" w:rsidP="000D3858">
      <w:pPr>
        <w:pStyle w:val="12"/>
        <w:rPr>
          <w:rFonts w:eastAsiaTheme="minorEastAsia"/>
        </w:rPr>
      </w:pPr>
      <w:bookmarkStart w:id="6" w:name="_Toc399979358"/>
      <w:r>
        <w:rPr>
          <w:rFonts w:eastAsiaTheme="minorEastAsia"/>
        </w:rPr>
        <w:t>5.1. Описание заданного предприятия</w:t>
      </w:r>
      <w:bookmarkEnd w:id="6"/>
    </w:p>
    <w:p w:rsidR="000D3858" w:rsidRPr="000D3858" w:rsidRDefault="000D3858" w:rsidP="000D3858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85003D" w:rsidRDefault="000D3858" w:rsidP="0085003D">
      <w:pPr>
        <w:pStyle w:val="12"/>
        <w:rPr>
          <w:rFonts w:eastAsiaTheme="minorEastAsia"/>
        </w:rPr>
      </w:pPr>
      <w:bookmarkStart w:id="7" w:name="_Toc399979359"/>
      <w:r>
        <w:rPr>
          <w:rFonts w:eastAsiaTheme="minorEastAsia"/>
        </w:rPr>
        <w:t>5.2</w:t>
      </w:r>
      <w:r w:rsidR="0085003D">
        <w:rPr>
          <w:rFonts w:eastAsiaTheme="minorEastAsia"/>
        </w:rPr>
        <w:t>. Функциональная модель управления предприятием</w:t>
      </w:r>
      <w:bookmarkEnd w:id="7"/>
    </w:p>
    <w:p w:rsidR="0085003D" w:rsidRDefault="0085003D" w:rsidP="0085003D">
      <w:r>
        <w:t>На рисунке 1 представлена диаграмма, отображающая функциональную модель управления выбранным предприятием.</w:t>
      </w:r>
    </w:p>
    <w:p w:rsidR="0085003D" w:rsidRDefault="004B3C5F" w:rsidP="0085003D">
      <w:pPr>
        <w:pStyle w:val="afa"/>
      </w:pPr>
      <w:r>
        <w:drawing>
          <wp:inline distT="0" distB="0" distL="0" distR="0">
            <wp:extent cx="6120130" cy="3861408"/>
            <wp:effectExtent l="0" t="0" r="0" b="0"/>
            <wp:docPr id="1" name="Рисунок 1" descr="https://pp.vk.me/c623424/v623424405/5833/JSm03epqy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3424/v623424405/5833/JSm03epqyd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85003D" w:rsidRDefault="0085003D" w:rsidP="0085003D">
      <w:pPr>
        <w:pStyle w:val="af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2458">
        <w:t>1</w:t>
      </w:r>
      <w:r>
        <w:fldChar w:fldCharType="end"/>
      </w:r>
      <w:r>
        <w:t>. Функциональная модель управления предприятием</w:t>
      </w:r>
    </w:p>
    <w:p w:rsidR="000F5668" w:rsidRDefault="000F5668" w:rsidP="000F5668">
      <w:r>
        <w:t xml:space="preserve">В данной таблице приведена расшифровка типов элементов </w:t>
      </w:r>
      <w:r w:rsidR="00D255FA">
        <w:t>функциональной модели: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6054"/>
      </w:tblGrid>
      <w:tr w:rsidR="00D255FA" w:rsidRPr="00D4707B" w:rsidTr="00D255FA">
        <w:trPr>
          <w:jc w:val="center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pStyle w:val="af5"/>
              <w:rPr>
                <w:lang w:eastAsia="ru-RU"/>
              </w:rPr>
            </w:pPr>
            <w:r w:rsidRPr="00D4707B">
              <w:rPr>
                <w:lang w:eastAsia="ru-RU"/>
              </w:rPr>
              <w:t>Символ</w:t>
            </w:r>
          </w:p>
        </w:tc>
        <w:tc>
          <w:tcPr>
            <w:tcW w:w="6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pStyle w:val="af5"/>
              <w:rPr>
                <w:lang w:eastAsia="ru-RU"/>
              </w:rPr>
            </w:pPr>
            <w:r w:rsidRPr="00D4707B">
              <w:rPr>
                <w:lang w:eastAsia="ru-RU"/>
              </w:rPr>
              <w:t>Определение</w:t>
            </w:r>
          </w:p>
        </w:tc>
      </w:tr>
      <w:tr w:rsidR="00D255FA" w:rsidRPr="00D4707B" w:rsidTr="00E3708A">
        <w:trPr>
          <w:jc w:val="center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rPr>
                <w:lang w:eastAsia="ru-RU"/>
              </w:rPr>
            </w:pPr>
            <w:r w:rsidRPr="00954D27">
              <w:rPr>
                <w:noProof/>
                <w:lang w:eastAsia="ru-RU"/>
              </w:rPr>
              <w:drawing>
                <wp:inline distT="0" distB="0" distL="0" distR="0" wp14:anchorId="367FBF67" wp14:editId="5DDEABCE">
                  <wp:extent cx="1295400" cy="706157"/>
                  <wp:effectExtent l="0" t="0" r="0" b="0"/>
                  <wp:docPr id="6" name="Рисунок 6" descr="C:\Users\Stranger\Desktop\rectangle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ranger\Desktop\rectangle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8" cy="7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rPr>
                <w:lang w:eastAsia="ru-RU"/>
              </w:rPr>
            </w:pPr>
            <w:r w:rsidRPr="00D4707B">
              <w:rPr>
                <w:lang w:eastAsia="ru-RU"/>
              </w:rPr>
              <w:t xml:space="preserve">Функция представляется помеченным эллипсом. Функция </w:t>
            </w:r>
            <w:r>
              <w:rPr>
                <w:lang w:eastAsia="ru-RU"/>
              </w:rPr>
              <w:t>–</w:t>
            </w:r>
            <w:r w:rsidRPr="00D4707B">
              <w:rPr>
                <w:lang w:eastAsia="ru-RU"/>
              </w:rPr>
              <w:t xml:space="preserve"> это группа задач, которые определяются как имеющие общую цель. Функции организу</w:t>
            </w:r>
            <w:r>
              <w:rPr>
                <w:lang w:eastAsia="ru-RU"/>
              </w:rPr>
              <w:t>ются по иерархическому принципу.</w:t>
            </w:r>
          </w:p>
        </w:tc>
      </w:tr>
      <w:tr w:rsidR="00D255FA" w:rsidRPr="00D4707B" w:rsidTr="00E3708A">
        <w:trPr>
          <w:jc w:val="center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rPr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271F26D" wp14:editId="286E0B5A">
                  <wp:extent cx="1133475" cy="552450"/>
                  <wp:effectExtent l="0" t="0" r="9525" b="0"/>
                  <wp:docPr id="4" name="Picture 4" descr="ГОСТ Р МЭК 62264-1-2010 Интеграция систем управления предприятием. Часть 1. Модели и терминолог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ГОСТ Р МЭК 62264-1-2010 Интеграция систем управления предприятием. Часть 1. Модели и терминолог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rPr>
                <w:lang w:eastAsia="ru-RU"/>
              </w:rPr>
            </w:pPr>
            <w:r w:rsidRPr="00D4707B">
              <w:rPr>
                <w:lang w:eastAsia="ru-RU"/>
              </w:rPr>
              <w:t>Внешняя сущность представляется помеченным прям</w:t>
            </w:r>
            <w:r>
              <w:rPr>
                <w:lang w:eastAsia="ru-RU"/>
              </w:rPr>
              <w:t xml:space="preserve">оугольником. Внешняя сущность – </w:t>
            </w:r>
            <w:r w:rsidRPr="00D4707B">
              <w:rPr>
                <w:lang w:eastAsia="ru-RU"/>
              </w:rPr>
              <w:t>это компонент вне границ модели, который пересылает данные функциям или получает данные от них</w:t>
            </w:r>
          </w:p>
        </w:tc>
      </w:tr>
      <w:tr w:rsidR="00D255FA" w:rsidRPr="00D4707B" w:rsidTr="00E3708A">
        <w:trPr>
          <w:jc w:val="center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B647AD" wp14:editId="0BE8725F">
                  <wp:extent cx="1028700" cy="295275"/>
                  <wp:effectExtent l="0" t="0" r="0" b="9525"/>
                  <wp:docPr id="3" name="Picture 3" descr="ГОСТ Р МЭК 62264-1-2010 Интеграция систем управления предприятием. Часть 1. Модели и терминолог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ОСТ Р МЭК 62264-1-2010 Интеграция систем управления предприятием. Часть 1. Модели и терминолог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rPr>
                <w:lang w:eastAsia="ru-RU"/>
              </w:rPr>
            </w:pPr>
            <w:r w:rsidRPr="00D4707B">
              <w:rPr>
                <w:lang w:eastAsia="ru-RU"/>
              </w:rPr>
              <w:t xml:space="preserve">Сплошная линия со стрелкой представляет группу данных, которые циркулируют между функциями или внешними сущностями. Сами данные определяются в интегрированной модели "предприятие </w:t>
            </w:r>
            <w:r>
              <w:rPr>
                <w:lang w:eastAsia="ru-RU"/>
              </w:rPr>
              <w:t>–</w:t>
            </w:r>
            <w:r w:rsidRPr="00D4707B">
              <w:rPr>
                <w:lang w:eastAsia="ru-RU"/>
              </w:rPr>
              <w:t xml:space="preserve"> система управления". Все сплошные линии снабжаются именами потоков данных.</w:t>
            </w:r>
            <w:r>
              <w:rPr>
                <w:lang w:eastAsia="ru-RU"/>
              </w:rPr>
              <w:t xml:space="preserve"> </w:t>
            </w:r>
            <w:r w:rsidRPr="00D4707B">
              <w:rPr>
                <w:lang w:eastAsia="ru-RU"/>
              </w:rPr>
              <w:t>Поток данных на одном уровне функциональной иерархии может представляться одним или несколькими потоками на более низком иерархическом уровне</w:t>
            </w:r>
          </w:p>
        </w:tc>
      </w:tr>
      <w:tr w:rsidR="00D255FA" w:rsidRPr="00D4707B" w:rsidTr="00E3708A">
        <w:trPr>
          <w:jc w:val="center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D255FA">
            <w:pPr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7854AA" wp14:editId="7654F9C3">
                  <wp:extent cx="1000125" cy="200025"/>
                  <wp:effectExtent l="0" t="0" r="9525" b="9525"/>
                  <wp:docPr id="5" name="Picture 2" descr="ГОСТ Р МЭК 62264-1-2010 Интеграция систем управления предприятием. Часть 1. Модели и терминолог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ГОСТ Р МЭК 62264-1-2010 Интеграция систем управления предприятием. Часть 1. Модели и терминолог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D255FA" w:rsidRPr="00D4707B" w:rsidRDefault="00D255FA" w:rsidP="006F6AD8">
            <w:pPr>
              <w:rPr>
                <w:lang w:eastAsia="ru-RU"/>
              </w:rPr>
            </w:pPr>
            <w:r w:rsidRPr="00D4707B">
              <w:rPr>
                <w:lang w:eastAsia="ru-RU"/>
              </w:rPr>
              <w:t xml:space="preserve">Пунктирная линия со стрелкой представляет группу данных, которые циркулируют между функциями или внешними сущностями. Эти данные не имеют отношения к интегрированной модели "предприятие </w:t>
            </w:r>
            <w:r>
              <w:rPr>
                <w:lang w:eastAsia="ru-RU"/>
              </w:rPr>
              <w:t>–</w:t>
            </w:r>
            <w:r w:rsidRPr="00D4707B">
              <w:rPr>
                <w:lang w:eastAsia="ru-RU"/>
              </w:rPr>
              <w:t xml:space="preserve"> система управления", а показаны для иллюстрации контекста функций. </w:t>
            </w:r>
          </w:p>
        </w:tc>
      </w:tr>
    </w:tbl>
    <w:p w:rsidR="006F6AD8" w:rsidRDefault="006F6AD8">
      <w:pPr>
        <w:spacing w:after="200" w:line="276" w:lineRule="auto"/>
        <w:ind w:firstLine="0"/>
        <w:jc w:val="left"/>
      </w:pPr>
      <w:r>
        <w:br w:type="page"/>
      </w:r>
    </w:p>
    <w:p w:rsidR="00D92FF2" w:rsidRDefault="0085003D" w:rsidP="0085003D">
      <w:pPr>
        <w:pStyle w:val="afa"/>
        <w:rPr>
          <w:rFonts w:eastAsiaTheme="minorEastAsia"/>
        </w:rPr>
      </w:pPr>
      <w:r w:rsidRPr="00D92FF2">
        <w:rPr>
          <w:rFonts w:eastAsiaTheme="minorEastAsia"/>
        </w:rPr>
        <w:lastRenderedPageBreak/>
        <w:t xml:space="preserve"> </w:t>
      </w:r>
      <w:r w:rsidR="00D92FF2" w:rsidRPr="00D92FF2">
        <w:rPr>
          <w:rFonts w:eastAsiaTheme="minorEastAsia"/>
        </w:rPr>
        <w:t>6 ЗАКЛЮЧЕНИЕ</w:t>
      </w:r>
    </w:p>
    <w:p w:rsidR="000D3858" w:rsidRDefault="00287D31" w:rsidP="000D3858">
      <w:r>
        <w:t>Выбранная компания, будучи вертикально-интегрированной, осуществляет иерархическое управление всеми сферами деятельности компании, в том числе разведкой, добычей, переработкой, сбытом, контролем качества и т.п., тем самым полностью управляя всеми стадиями производства и получения конечных продуктов. Функциональная структура компании большей частью соответствует эталонной структуре, предлагаемой ГОСТом.</w:t>
      </w:r>
    </w:p>
    <w:sectPr w:rsidR="000D3858" w:rsidSect="00492A17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DCF" w:rsidRDefault="009A7DCF" w:rsidP="0036391D">
      <w:pPr>
        <w:spacing w:line="240" w:lineRule="auto"/>
      </w:pPr>
      <w:r>
        <w:separator/>
      </w:r>
    </w:p>
    <w:p w:rsidR="009A7DCF" w:rsidRDefault="009A7DCF"/>
    <w:p w:rsidR="009A7DCF" w:rsidRDefault="009A7DCF" w:rsidP="009A4783"/>
  </w:endnote>
  <w:endnote w:type="continuationSeparator" w:id="0">
    <w:p w:rsidR="009A7DCF" w:rsidRDefault="009A7DCF" w:rsidP="0036391D">
      <w:pPr>
        <w:spacing w:line="240" w:lineRule="auto"/>
      </w:pPr>
      <w:r>
        <w:continuationSeparator/>
      </w:r>
    </w:p>
    <w:p w:rsidR="009A7DCF" w:rsidRDefault="009A7DCF"/>
    <w:p w:rsidR="009A7DCF" w:rsidRDefault="009A7DCF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13127370"/>
      <w:docPartObj>
        <w:docPartGallery w:val="Page Numbers (Bottom of Page)"/>
        <w:docPartUnique/>
      </w:docPartObj>
    </w:sdtPr>
    <w:sdtEndPr/>
    <w:sdtContent>
      <w:p w:rsidR="005C7DC7" w:rsidRPr="004F1FC4" w:rsidRDefault="00B579D9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="0036391D"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4B3C5F">
          <w:rPr>
            <w:rFonts w:cs="Times New Roman"/>
          </w:rPr>
          <w:t>5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DCF" w:rsidRDefault="009A7DCF" w:rsidP="0036391D">
      <w:pPr>
        <w:spacing w:line="240" w:lineRule="auto"/>
      </w:pPr>
      <w:r>
        <w:separator/>
      </w:r>
    </w:p>
    <w:p w:rsidR="009A7DCF" w:rsidRDefault="009A7DCF"/>
    <w:p w:rsidR="009A7DCF" w:rsidRDefault="009A7DCF" w:rsidP="009A4783"/>
  </w:footnote>
  <w:footnote w:type="continuationSeparator" w:id="0">
    <w:p w:rsidR="009A7DCF" w:rsidRDefault="009A7DCF" w:rsidP="0036391D">
      <w:pPr>
        <w:spacing w:line="240" w:lineRule="auto"/>
      </w:pPr>
      <w:r>
        <w:continuationSeparator/>
      </w:r>
    </w:p>
    <w:p w:rsidR="009A7DCF" w:rsidRDefault="009A7DCF"/>
    <w:p w:rsidR="009A7DCF" w:rsidRDefault="009A7DCF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105"/>
    <w:multiLevelType w:val="hybridMultilevel"/>
    <w:tmpl w:val="64B01D16"/>
    <w:lvl w:ilvl="0" w:tplc="B21E9892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7E43FAA"/>
    <w:multiLevelType w:val="hybridMultilevel"/>
    <w:tmpl w:val="5D24A3D8"/>
    <w:lvl w:ilvl="0" w:tplc="43DE245C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43C7E"/>
    <w:multiLevelType w:val="hybridMultilevel"/>
    <w:tmpl w:val="CDC48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E3D84"/>
    <w:multiLevelType w:val="hybridMultilevel"/>
    <w:tmpl w:val="1AD23B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831CB"/>
    <w:multiLevelType w:val="hybridMultilevel"/>
    <w:tmpl w:val="892002C6"/>
    <w:lvl w:ilvl="0" w:tplc="CDAE3EAA">
      <w:start w:val="1"/>
      <w:numFmt w:val="russianLower"/>
      <w:pStyle w:val="a0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4982432A"/>
    <w:multiLevelType w:val="hybridMultilevel"/>
    <w:tmpl w:val="A3D48C12"/>
    <w:lvl w:ilvl="0" w:tplc="8BCC978E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A1EC7"/>
    <w:multiLevelType w:val="hybridMultilevel"/>
    <w:tmpl w:val="C39CCA94"/>
    <w:lvl w:ilvl="0" w:tplc="60BCA500">
      <w:start w:val="9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864B9"/>
    <w:multiLevelType w:val="hybridMultilevel"/>
    <w:tmpl w:val="C75A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00244"/>
    <w:multiLevelType w:val="hybridMultilevel"/>
    <w:tmpl w:val="3E1A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83532"/>
    <w:multiLevelType w:val="hybridMultilevel"/>
    <w:tmpl w:val="08E44D38"/>
    <w:lvl w:ilvl="0" w:tplc="634E1750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B04BC"/>
    <w:multiLevelType w:val="hybridMultilevel"/>
    <w:tmpl w:val="B7BA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62163"/>
    <w:multiLevelType w:val="hybridMultilevel"/>
    <w:tmpl w:val="0B947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823A7"/>
    <w:multiLevelType w:val="hybridMultilevel"/>
    <w:tmpl w:val="095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62874"/>
    <w:multiLevelType w:val="hybridMultilevel"/>
    <w:tmpl w:val="5A5CE1A2"/>
    <w:lvl w:ilvl="0" w:tplc="BA46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D0E79"/>
    <w:multiLevelType w:val="multilevel"/>
    <w:tmpl w:val="B5FE64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9910E0D"/>
    <w:multiLevelType w:val="hybridMultilevel"/>
    <w:tmpl w:val="8D661492"/>
    <w:lvl w:ilvl="0" w:tplc="B21E989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cumentProtection w:edit="readOnly" w:formatting="1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7B58"/>
    <w:rsid w:val="00040E20"/>
    <w:rsid w:val="00081292"/>
    <w:rsid w:val="0009726B"/>
    <w:rsid w:val="000C3036"/>
    <w:rsid w:val="000D3858"/>
    <w:rsid w:val="000D5ED6"/>
    <w:rsid w:val="000E0A81"/>
    <w:rsid w:val="000E44F4"/>
    <w:rsid w:val="000F5668"/>
    <w:rsid w:val="00134A15"/>
    <w:rsid w:val="00141AF1"/>
    <w:rsid w:val="00147173"/>
    <w:rsid w:val="0016579A"/>
    <w:rsid w:val="00176BB9"/>
    <w:rsid w:val="00197A2E"/>
    <w:rsid w:val="001C67A9"/>
    <w:rsid w:val="001D6ABF"/>
    <w:rsid w:val="001E0DF9"/>
    <w:rsid w:val="001E6511"/>
    <w:rsid w:val="002036BE"/>
    <w:rsid w:val="00217ED2"/>
    <w:rsid w:val="00220E19"/>
    <w:rsid w:val="0022418B"/>
    <w:rsid w:val="00231ED1"/>
    <w:rsid w:val="002411D1"/>
    <w:rsid w:val="00246E4E"/>
    <w:rsid w:val="00287D31"/>
    <w:rsid w:val="00291EE0"/>
    <w:rsid w:val="00291F38"/>
    <w:rsid w:val="002B5E11"/>
    <w:rsid w:val="00301166"/>
    <w:rsid w:val="00324DB8"/>
    <w:rsid w:val="003250A4"/>
    <w:rsid w:val="00330020"/>
    <w:rsid w:val="003308E1"/>
    <w:rsid w:val="0035641E"/>
    <w:rsid w:val="0036391D"/>
    <w:rsid w:val="003644C6"/>
    <w:rsid w:val="00377CA6"/>
    <w:rsid w:val="003A36F6"/>
    <w:rsid w:val="003A3EEA"/>
    <w:rsid w:val="003D4F58"/>
    <w:rsid w:val="003D5DAA"/>
    <w:rsid w:val="003D7C41"/>
    <w:rsid w:val="003E6E79"/>
    <w:rsid w:val="003F434C"/>
    <w:rsid w:val="00406C04"/>
    <w:rsid w:val="004231F2"/>
    <w:rsid w:val="004338F9"/>
    <w:rsid w:val="004425B3"/>
    <w:rsid w:val="00462703"/>
    <w:rsid w:val="00466A63"/>
    <w:rsid w:val="00481F6C"/>
    <w:rsid w:val="00484E53"/>
    <w:rsid w:val="00492963"/>
    <w:rsid w:val="00492A17"/>
    <w:rsid w:val="004B3C5F"/>
    <w:rsid w:val="004E22F5"/>
    <w:rsid w:val="004F1FC4"/>
    <w:rsid w:val="004F7E8A"/>
    <w:rsid w:val="00500345"/>
    <w:rsid w:val="00511E03"/>
    <w:rsid w:val="00524E5F"/>
    <w:rsid w:val="005351DF"/>
    <w:rsid w:val="005405DB"/>
    <w:rsid w:val="00563AD5"/>
    <w:rsid w:val="00572E8F"/>
    <w:rsid w:val="005771FD"/>
    <w:rsid w:val="00593C97"/>
    <w:rsid w:val="00597931"/>
    <w:rsid w:val="005C7511"/>
    <w:rsid w:val="005C7DC7"/>
    <w:rsid w:val="005D3DCB"/>
    <w:rsid w:val="005F1C3C"/>
    <w:rsid w:val="006939A0"/>
    <w:rsid w:val="006949EC"/>
    <w:rsid w:val="006B2E1A"/>
    <w:rsid w:val="006E2DB9"/>
    <w:rsid w:val="006F25D8"/>
    <w:rsid w:val="006F6AD8"/>
    <w:rsid w:val="00702014"/>
    <w:rsid w:val="00711ACF"/>
    <w:rsid w:val="007165CC"/>
    <w:rsid w:val="00740AFC"/>
    <w:rsid w:val="00740F4D"/>
    <w:rsid w:val="00757183"/>
    <w:rsid w:val="007617AE"/>
    <w:rsid w:val="00795E82"/>
    <w:rsid w:val="007E2B10"/>
    <w:rsid w:val="007F2FE0"/>
    <w:rsid w:val="00800AC4"/>
    <w:rsid w:val="00817358"/>
    <w:rsid w:val="0085003D"/>
    <w:rsid w:val="00860225"/>
    <w:rsid w:val="0087022B"/>
    <w:rsid w:val="0087385E"/>
    <w:rsid w:val="00885AED"/>
    <w:rsid w:val="008A3DD0"/>
    <w:rsid w:val="008C0FFB"/>
    <w:rsid w:val="008C4EF9"/>
    <w:rsid w:val="00906698"/>
    <w:rsid w:val="0091092A"/>
    <w:rsid w:val="00920699"/>
    <w:rsid w:val="00952FFC"/>
    <w:rsid w:val="0097008F"/>
    <w:rsid w:val="009749A5"/>
    <w:rsid w:val="009A4783"/>
    <w:rsid w:val="009A7DCF"/>
    <w:rsid w:val="009B42D6"/>
    <w:rsid w:val="009C26F0"/>
    <w:rsid w:val="009D44AA"/>
    <w:rsid w:val="009F3476"/>
    <w:rsid w:val="00A37BB5"/>
    <w:rsid w:val="00A4195A"/>
    <w:rsid w:val="00A4362A"/>
    <w:rsid w:val="00A54D56"/>
    <w:rsid w:val="00A76DEB"/>
    <w:rsid w:val="00A77987"/>
    <w:rsid w:val="00AB4D31"/>
    <w:rsid w:val="00AC0E11"/>
    <w:rsid w:val="00AC6161"/>
    <w:rsid w:val="00AE0591"/>
    <w:rsid w:val="00AF0AA1"/>
    <w:rsid w:val="00B02194"/>
    <w:rsid w:val="00B126CD"/>
    <w:rsid w:val="00B448D0"/>
    <w:rsid w:val="00B5388C"/>
    <w:rsid w:val="00B5491E"/>
    <w:rsid w:val="00B579D9"/>
    <w:rsid w:val="00B625E5"/>
    <w:rsid w:val="00B6632C"/>
    <w:rsid w:val="00B754F6"/>
    <w:rsid w:val="00B755F3"/>
    <w:rsid w:val="00B756BF"/>
    <w:rsid w:val="00B76125"/>
    <w:rsid w:val="00B92458"/>
    <w:rsid w:val="00BA3DAC"/>
    <w:rsid w:val="00BA5E14"/>
    <w:rsid w:val="00BE1CB0"/>
    <w:rsid w:val="00BF2258"/>
    <w:rsid w:val="00C119EF"/>
    <w:rsid w:val="00C12158"/>
    <w:rsid w:val="00C22F07"/>
    <w:rsid w:val="00C23719"/>
    <w:rsid w:val="00C83920"/>
    <w:rsid w:val="00CA4C94"/>
    <w:rsid w:val="00CB3345"/>
    <w:rsid w:val="00CD2927"/>
    <w:rsid w:val="00CE0D5B"/>
    <w:rsid w:val="00CF4D4E"/>
    <w:rsid w:val="00D1781D"/>
    <w:rsid w:val="00D25465"/>
    <w:rsid w:val="00D255FA"/>
    <w:rsid w:val="00D31F89"/>
    <w:rsid w:val="00D72B77"/>
    <w:rsid w:val="00D82BBC"/>
    <w:rsid w:val="00D86833"/>
    <w:rsid w:val="00D911C9"/>
    <w:rsid w:val="00D92FF2"/>
    <w:rsid w:val="00DA403D"/>
    <w:rsid w:val="00DA727D"/>
    <w:rsid w:val="00E2628F"/>
    <w:rsid w:val="00E35354"/>
    <w:rsid w:val="00E40D39"/>
    <w:rsid w:val="00E4500D"/>
    <w:rsid w:val="00E55994"/>
    <w:rsid w:val="00E611D5"/>
    <w:rsid w:val="00EA2E31"/>
    <w:rsid w:val="00EA672C"/>
    <w:rsid w:val="00EB24B1"/>
    <w:rsid w:val="00EC5255"/>
    <w:rsid w:val="00EE2B87"/>
    <w:rsid w:val="00F21914"/>
    <w:rsid w:val="00F41D07"/>
    <w:rsid w:val="00F82F3E"/>
    <w:rsid w:val="00F84BA8"/>
    <w:rsid w:val="00F92474"/>
    <w:rsid w:val="00FB77E7"/>
    <w:rsid w:val="00FC6A9D"/>
    <w:rsid w:val="00FE0E05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019B3-86FE-4103-8F04-9C51AD1E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7A2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5405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126CD"/>
    <w:pPr>
      <w:tabs>
        <w:tab w:val="left" w:pos="660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15"/>
      </w:numPr>
      <w:shd w:val="clear" w:color="auto" w:fill="FFFFFF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4425B3"/>
    <w:pPr>
      <w:keepNext/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4425B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8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neft.ru/about/Glance/OperationalStructure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rosneft.ru/Investors/corpgov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8289A-ED8E-41FC-B866-69D7592E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10</Pages>
  <Words>1415</Words>
  <Characters>8070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117</cp:revision>
  <cp:lastPrinted>2014-10-01T22:14:00Z</cp:lastPrinted>
  <dcterms:created xsi:type="dcterms:W3CDTF">2014-09-08T10:17:00Z</dcterms:created>
  <dcterms:modified xsi:type="dcterms:W3CDTF">2014-10-15T20:12:00Z</dcterms:modified>
  <cp:contentStatus/>
</cp:coreProperties>
</file>