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cursos, disciplinas e ementas;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professores;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Alocar professores às disciplinas que podem ministrar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instâncias de alocação de professores em disciplinas para um novo semestre letivo.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Manter cursos e coordenadores;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Manter informações públicas;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Gestão dos alunos.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de materiais instrucionais por disciplina alocada no semestre;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das atividades contínuas de alunos em cada disciplina que ele ministra;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Criar, avaliar e fornecer feedback de testes online.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Matricular-se nas disciplinas disponibilizadas no semestre letivo;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seu boletim contendo as notas obtidas em cada atividade contínua que tenha realizado;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Consultar, desenvolver e entregar as atividades contínuas disponibilizadas pelo professor;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dúvidas ao professor sobre os feedback fornecidos pelo professor sobre as atividades contínuas;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testes online, podendo ou não obter a sua pontuação à medida em que responde às questões;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entregas de atividades fornecidas pelos professores.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as disciplinas e suas ementas;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Avisos gerais.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Professores de Disciplinas do 2º Período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inicial do novo sistema LMS, LMS-Advance.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Darão continuidade ao desenvolvimento do novo sistema LMS, LMS-Advance, nas disciplinas por eles cursadas.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Coordenadores dos cursos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Fornecerão as necessidades, características e requisitos para que o novo sistema LMS, LMS-Advance possa apoiar adequadamente o novo SIstema de Avaliação da Faculdade Impacta Tecnologia.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Alunos da 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LMS, LMS-Advance.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