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b/>
          <w:bCs/>
          <w:color w:val="E8562A"/>
          <w:sz w:val="40"/>
          <w:szCs w:val="40"/>
        </w:rPr>
        <w:t xml:space="preserve">decibyl.</w:t>
      </w:r>
    </w:p>
    <w:p>
      <w:pPr>
        <w:spacing w:after="80"/>
      </w:pPr>
      <w:r>
        <w:rPr>
          <w:rFonts w:ascii="Calibri" w:cs="Calibri" w:eastAsia="Calibri" w:hAnsi="Calibri"/>
          <w:b/>
          <w:bCs/>
          <w:color w:val="1F1F1F"/>
          <w:sz w:val="52"/>
          <w:szCs w:val="52"/>
        </w:rPr>
        <w:t xml:space="preserve">Elock Support Voice Agent</w:t>
      </w:r>
    </w:p>
    <w:p>
      <w:pPr>
        <w:spacing w:after="60"/>
      </w:pPr>
      <w:r>
        <w:rPr>
          <w:rFonts w:ascii="Calibri" w:cs="Calibri" w:eastAsia="Calibri" w:hAnsi="Calibri"/>
          <w:color w:val="6B6B6B"/>
          <w:sz w:val="28"/>
          <w:szCs w:val="28"/>
        </w:rPr>
        <w:t xml:space="preserve">Proposal for KritiLabs Technologies</w:t>
      </w:r>
    </w:p>
    <w:p>
      <w:pPr>
        <w:spacing w:after="60"/>
      </w:pPr>
      <w:r>
        <w:rPr>
          <w:rFonts w:ascii="Calibri" w:cs="Calibri" w:eastAsia="Calibri" w:hAnsi="Calibri"/>
          <w:color w:val="6B6B6B"/>
          <w:sz w:val="20"/>
          <w:szCs w:val="20"/>
        </w:rPr>
        <w:t xml:space="preserve">In response to: Agentic Voice AI Workflow, Manual OTP / Secondary OTP / Normal Open / Normal Lock / Invoice Not Received (Elock)</w:t>
      </w:r>
    </w:p>
    <w:p>
      <w:pPr>
        <w:pBdr>
          <w:bottom w:val="single" w:color="E8562A" w:sz="6" w:space="8"/>
        </w:pBdr>
        <w:spacing w:after="600"/>
      </w:pPr>
      <w:r>
        <w:rPr>
          <w:rFonts w:ascii="Calibri" w:cs="Calibri" w:eastAsia="Calibri" w:hAnsi="Calibri"/>
          <w:color w:val="6B6B6B"/>
          <w:sz w:val="20"/>
          <w:szCs w:val="20"/>
        </w:rPr>
        <w:t xml:space="preserve">14 September 2026  ·  Prepared by Nithish Kalyan, Decibyl  ·  Valid 30 days</w:t>
      </w:r>
    </w:p>
    <w:p>
      <w:pPr>
        <w:pStyle w:val="Heading1"/>
        <w:spacing w:after="160" w:before="360"/>
      </w:pPr>
      <w:r>
        <w:t xml:space="preserve">1. What you asked for, in one paragraph</w:t>
      </w:r>
    </w:p>
    <w:p>
      <w:pPr>
        <w:spacing w:after="120" w:line="300"/>
      </w:pPr>
      <w:r>
        <w:rPr>
          <w:rFonts w:ascii="Calibri" w:cs="Calibri" w:eastAsia="Calibri" w:hAnsi="Calibri"/>
          <w:color w:val="1F1F1F"/>
          <w:sz w:val="21"/>
          <w:szCs w:val="21"/>
        </w:rPr>
        <w:t xml:space="preserve">A support line that a driver or transporter can ring when an Elock will not open or lock. The agent greets in the caller's language, takes the TT number and 10-digit invoice number, validates them against your backend, walks the caller through the controller keys (6#, 3#, 2#, 1#, 7#, 8#), checks OTP status before ever triggering one, asks consent before a Manual or Secondary OTP, confirms the result, and hands anything it cannot resolve to a live agent with the full context. Five flows share one authentication step and one escalation path. Your document already specifies this as states, decision logic and acceptance criteria; this proposal maps each of those onto Decibyl and prices it.</w:t>
      </w:r>
    </w:p>
    <w:p>
      <w:pPr>
        <w:pStyle w:val="Heading1"/>
        <w:spacing w:after="160" w:before="360"/>
      </w:pPr>
      <w:r>
        <w:t xml:space="preserve">2. How the five flows map onto Decibyl</w:t>
      </w:r>
    </w:p>
    <w:p>
      <w:pPr>
        <w:spacing w:after="120" w:line="300"/>
      </w:pPr>
      <w:r>
        <w:rPr>
          <w:rFonts w:ascii="Calibri" w:cs="Calibri" w:eastAsia="Calibri" w:hAnsi="Calibri"/>
          <w:color w:val="1F1F1F"/>
          <w:sz w:val="21"/>
          <w:szCs w:val="21"/>
        </w:rPr>
        <w:t xml:space="preserve">Decibyl agents are built from nodes on a canvas. Every state in your document corresponds to a node that already exists; no custom development is required on the Decibyl side. The work is configuration plus four API connections to your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E3DAD5" w:sz="4"/>
              <w:left w:val="single" w:color="E3DAD5" w:sz="4"/>
              <w:bottom w:val="single" w:color="E3DAD5" w:sz="4"/>
              <w:right w:val="single" w:color="E3DAD5" w:sz="4"/>
            </w:tcBorders>
            <w:shd w:fill="E8562A" w:color="auto" w:val="clear"/>
            <w:tcMar>
              <w:top w:type="dxa" w:w="80"/>
              <w:left w:type="dxa" w:w="120"/>
              <w:bottom w:type="dxa" w:w="80"/>
              <w:right w:type="dxa" w:w="120"/>
            </w:tcMar>
          </w:tcPr>
          <w:p>
            <w:pPr>
              <w:spacing w:after="0" w:line="276"/>
            </w:pPr>
            <w:r>
              <w:rPr>
                <w:rFonts w:ascii="Calibri" w:cs="Calibri" w:eastAsia="Calibri" w:hAnsi="Calibri"/>
                <w:b/>
                <w:bCs/>
                <w:color w:val="FFFFFF"/>
                <w:sz w:val="19"/>
                <w:szCs w:val="19"/>
              </w:rPr>
              <w:t xml:space="preserve">Your workflow state</w:t>
            </w:r>
          </w:p>
        </w:tc>
        <w:tc>
          <w:tcPr>
            <w:tcW w:type="dxa" w:w="3400"/>
            <w:tcBorders>
              <w:top w:val="single" w:color="E3DAD5" w:sz="4"/>
              <w:left w:val="single" w:color="E3DAD5" w:sz="4"/>
              <w:bottom w:val="single" w:color="E3DAD5" w:sz="4"/>
              <w:right w:val="single" w:color="E3DAD5" w:sz="4"/>
            </w:tcBorders>
            <w:shd w:fill="E8562A" w:color="auto" w:val="clear"/>
            <w:tcMar>
              <w:top w:type="dxa" w:w="80"/>
              <w:left w:type="dxa" w:w="120"/>
              <w:bottom w:type="dxa" w:w="80"/>
              <w:right w:type="dxa" w:w="120"/>
            </w:tcMar>
          </w:tcPr>
          <w:p>
            <w:pPr>
              <w:spacing w:after="0" w:line="276"/>
            </w:pPr>
            <w:r>
              <w:rPr>
                <w:rFonts w:ascii="Calibri" w:cs="Calibri" w:eastAsia="Calibri" w:hAnsi="Calibri"/>
                <w:b/>
                <w:bCs/>
                <w:color w:val="FFFFFF"/>
                <w:sz w:val="19"/>
                <w:szCs w:val="19"/>
              </w:rPr>
              <w:t xml:space="preserve">Decibyl node</w:t>
            </w:r>
          </w:p>
        </w:tc>
        <w:tc>
          <w:tcPr>
            <w:tcW w:type="dxa" w:w="3560"/>
            <w:tcBorders>
              <w:top w:val="single" w:color="E3DAD5" w:sz="4"/>
              <w:left w:val="single" w:color="E3DAD5" w:sz="4"/>
              <w:bottom w:val="single" w:color="E3DAD5" w:sz="4"/>
              <w:right w:val="single" w:color="E3DAD5" w:sz="4"/>
            </w:tcBorders>
            <w:shd w:fill="E8562A" w:color="auto" w:val="clear"/>
            <w:tcMar>
              <w:top w:type="dxa" w:w="80"/>
              <w:left w:type="dxa" w:w="120"/>
              <w:bottom w:type="dxa" w:w="80"/>
              <w:right w:type="dxa" w:w="120"/>
            </w:tcMar>
          </w:tcPr>
          <w:p>
            <w:pPr>
              <w:spacing w:after="0" w:line="276"/>
            </w:pPr>
            <w:r>
              <w:rPr>
                <w:rFonts w:ascii="Calibri" w:cs="Calibri" w:eastAsia="Calibri" w:hAnsi="Calibri"/>
                <w:b/>
                <w:bCs/>
                <w:color w:val="FFFFFF"/>
                <w:sz w:val="19"/>
                <w:szCs w:val="19"/>
              </w:rPr>
              <w:t xml:space="preserve">What it does on the call</w:t>
            </w:r>
          </w:p>
        </w:tc>
      </w:tr>
      <w:tr>
        <w:trPr>
          <w:tblHeader w:val="false"/>
        </w:trPr>
        <w:tc>
          <w:tcPr>
            <w:tcW w:type="dxa" w:w="240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S1 Greeting and intent</w:t>
            </w:r>
          </w:p>
        </w:tc>
        <w:tc>
          <w:tcPr>
            <w:tcW w:type="dxa" w:w="340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Agent node with intent routing</w:t>
            </w:r>
          </w:p>
        </w:tc>
        <w:tc>
          <w:tcPr>
            <w:tcW w:type="dxa" w:w="356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Greets in Tamil, Hindi or English by caller preference; classifies OPEN, LOCK, NOT OPENING, NOT LOCKING, INVOICE NOT RECEIVED; remembers the requested action for the whole call</w:t>
            </w:r>
          </w:p>
        </w:tc>
      </w:tr>
      <w:tr>
        <w:trPr>
          <w:tblHeader w:val="false"/>
        </w:trPr>
        <w:tc>
          <w:tcPr>
            <w:tcW w:type="dxa" w:w="240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S2 Authentication</w:t>
            </w:r>
          </w:p>
        </w:tc>
        <w:tc>
          <w:tcPr>
            <w:tcW w:type="dxa" w:w="340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Agent node + HTTP API tool</w:t>
            </w:r>
          </w:p>
        </w:tc>
        <w:tc>
          <w:tcPr>
            <w:tcW w:type="dxa" w:w="356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Collects TT and invoice, reads them back digit by digit, calls your Customer Validation API; one retry, then transfer</w:t>
            </w:r>
          </w:p>
        </w:tc>
      </w:tr>
      <w:tr>
        <w:trPr>
          <w:tblHeader w:val="false"/>
        </w:trPr>
        <w:tc>
          <w:tcPr>
            <w:tcW w:type="dxa" w:w="240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S3 Device refresh (6#)</w:t>
            </w:r>
          </w:p>
        </w:tc>
        <w:tc>
          <w:tcPr>
            <w:tcW w:type="dxa" w:w="340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Agent node with wait-for-confirmation</w:t>
            </w:r>
          </w:p>
        </w:tc>
        <w:tc>
          <w:tcPr>
            <w:tcW w:type="dxa" w:w="356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Instructs the key press and waits for the caller to say it is done before moving on</w:t>
            </w:r>
          </w:p>
        </w:tc>
      </w:tr>
      <w:tr>
        <w:trPr>
          <w:tblHeader w:val="false"/>
        </w:trPr>
        <w:tc>
          <w:tcPr>
            <w:tcW w:type="dxa" w:w="240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S4 Signal check (GPS, GSM)</w:t>
            </w:r>
          </w:p>
        </w:tc>
        <w:tc>
          <w:tcPr>
            <w:tcW w:type="dxa" w:w="340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Branch node</w:t>
            </w:r>
          </w:p>
        </w:tc>
        <w:tc>
          <w:tcPr>
            <w:tcW w:type="dxa" w:w="356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Routes on the caller's answer, or on your Device Status API when available, so the same input always takes the same path</w:t>
            </w:r>
          </w:p>
        </w:tc>
      </w:tr>
      <w:tr>
        <w:trPr>
          <w:tblHeader w:val="false"/>
        </w:trPr>
        <w:tc>
          <w:tcPr>
            <w:tcW w:type="dxa" w:w="240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S5 to S7 OTP request, status, consent, trigger</w:t>
            </w:r>
          </w:p>
        </w:tc>
        <w:tc>
          <w:tcPr>
            <w:tcW w:type="dxa" w:w="340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HTTP API tools + Branch node</w:t>
            </w:r>
          </w:p>
        </w:tc>
        <w:tc>
          <w:tcPr>
            <w:tcW w:type="dxa" w:w="356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Calls OTP Status first; only if no OTP was triggered does it ask consent, then calls Manual or Secondary OTP</w:t>
            </w:r>
          </w:p>
        </w:tc>
      </w:tr>
      <w:tr>
        <w:trPr>
          <w:tblHeader w:val="false"/>
        </w:trPr>
        <w:tc>
          <w:tcPr>
            <w:tcW w:type="dxa" w:w="240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S8 Unlock or lock guidance</w:t>
            </w:r>
          </w:p>
        </w:tc>
        <w:tc>
          <w:tcPr>
            <w:tcW w:type="dxa" w:w="340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Agent node</w:t>
            </w:r>
          </w:p>
        </w:tc>
        <w:tc>
          <w:tcPr>
            <w:tcW w:type="dxa" w:w="356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2#, OTP, # for open; 1# for lock; 7# / 8# for normal command; waits after each press</w:t>
            </w:r>
          </w:p>
        </w:tc>
      </w:tr>
      <w:tr>
        <w:trPr>
          <w:tblHeader w:val="false"/>
        </w:trPr>
        <w:tc>
          <w:tcPr>
            <w:tcW w:type="dxa" w:w="240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S9 Resolution</w:t>
            </w:r>
          </w:p>
        </w:tc>
        <w:tc>
          <w:tcPr>
            <w:tcW w:type="dxa" w:w="340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Agent node + Webhook</w:t>
            </w:r>
          </w:p>
        </w:tc>
        <w:tc>
          <w:tcPr>
            <w:tcW w:type="dxa" w:w="356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Confirms the lock state with the caller (or your API), logs outcome, transcript and timestamps to your system</w:t>
            </w:r>
          </w:p>
        </w:tc>
      </w:tr>
      <w:tr>
        <w:trPr>
          <w:tblHeader w:val="false"/>
        </w:trPr>
        <w:tc>
          <w:tcPr>
            <w:tcW w:type="dxa" w:w="240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Trip not found (Invoice flow)</w:t>
            </w:r>
          </w:p>
        </w:tc>
        <w:tc>
          <w:tcPr>
            <w:tcW w:type="dxa" w:w="340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Branch node + scripted response</w:t>
            </w:r>
          </w:p>
        </w:tc>
        <w:tc>
          <w:tcPr>
            <w:tcW w:type="dxa" w:w="356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Stops troubleshooting, reads the helpdesk@kritilabs.com guidance and the SDMS/YVSMS update advice, records the disposition</w:t>
            </w:r>
          </w:p>
        </w:tc>
      </w:tr>
      <w:tr>
        <w:trPr>
          <w:tblHeader w:val="false"/>
        </w:trPr>
        <w:tc>
          <w:tcPr>
            <w:tcW w:type="dxa" w:w="240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Escalation</w:t>
            </w:r>
          </w:p>
        </w:tc>
        <w:tc>
          <w:tcPr>
            <w:tcW w:type="dxa" w:w="340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Call Transfer tool</w:t>
            </w:r>
          </w:p>
        </w:tc>
        <w:tc>
          <w:tcPr>
            <w:tcW w:type="dxa" w:w="356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Warm transfer to your live agent with a spoken briefing: TT, invoice, action requested, steps completed, last OTP status</w:t>
            </w:r>
          </w:p>
        </w:tc>
      </w:tr>
    </w:tbl>
    <w:p>
      <w:pPr>
        <w:spacing w:after="120" w:line="300"/>
      </w:pPr>
      <w:r>
        <w:rPr>
          <w:rFonts w:ascii="Calibri" w:cs="Calibri" w:eastAsia="Calibri" w:hAnsi="Calibri"/>
          <w:i/>
          <w:iCs/>
          <w:color w:val="6B6B6B"/>
          <w:sz w:val="19"/>
          <w:szCs w:val="19"/>
        </w:rPr>
        <w:t xml:space="preserve">The caller presses keys on the lock controller, not on the phone, so the agent listens for spoken confirmation after each step rather than phone keypad tones. That is how your document describes it and it is the simpler path.</w:t>
      </w:r>
    </w:p>
    <w:p>
      <w:pPr>
        <w:pStyle w:val="Heading1"/>
        <w:spacing w:after="160" w:before="360"/>
      </w:pPr>
      <w:r>
        <w:t xml:space="preserve">3. What we need from KritiLabs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3DAD5" w:sz="4"/>
              <w:left w:val="single" w:color="E3DAD5" w:sz="4"/>
              <w:bottom w:val="single" w:color="E3DAD5" w:sz="4"/>
              <w:right w:val="single" w:color="E3DAD5" w:sz="4"/>
            </w:tcBorders>
            <w:shd w:fill="E8562A" w:color="auto" w:val="clear"/>
            <w:tcMar>
              <w:top w:type="dxa" w:w="80"/>
              <w:left w:type="dxa" w:w="120"/>
              <w:bottom w:type="dxa" w:w="80"/>
              <w:right w:type="dxa" w:w="120"/>
            </w:tcMar>
          </w:tcPr>
          <w:p>
            <w:pPr>
              <w:spacing w:after="0" w:line="276"/>
            </w:pPr>
            <w:r>
              <w:rPr>
                <w:rFonts w:ascii="Calibri" w:cs="Calibri" w:eastAsia="Calibri" w:hAnsi="Calibri"/>
                <w:b/>
                <w:bCs/>
                <w:color w:val="FFFFFF"/>
                <w:sz w:val="19"/>
                <w:szCs w:val="19"/>
              </w:rPr>
              <w:t xml:space="preserve">Integration</w:t>
            </w:r>
          </w:p>
        </w:tc>
        <w:tc>
          <w:tcPr>
            <w:tcW w:type="dxa" w:w="6760"/>
            <w:tcBorders>
              <w:top w:val="single" w:color="E3DAD5" w:sz="4"/>
              <w:left w:val="single" w:color="E3DAD5" w:sz="4"/>
              <w:bottom w:val="single" w:color="E3DAD5" w:sz="4"/>
              <w:right w:val="single" w:color="E3DAD5" w:sz="4"/>
            </w:tcBorders>
            <w:shd w:fill="E8562A" w:color="auto" w:val="clear"/>
            <w:tcMar>
              <w:top w:type="dxa" w:w="80"/>
              <w:left w:type="dxa" w:w="120"/>
              <w:bottom w:type="dxa" w:w="80"/>
              <w:right w:type="dxa" w:w="120"/>
            </w:tcMar>
          </w:tcPr>
          <w:p>
            <w:pPr>
              <w:spacing w:after="0" w:line="276"/>
            </w:pPr>
            <w:r>
              <w:rPr>
                <w:rFonts w:ascii="Calibri" w:cs="Calibri" w:eastAsia="Calibri" w:hAnsi="Calibri"/>
                <w:b/>
                <w:bCs/>
                <w:color w:val="FFFFFF"/>
                <w:sz w:val="19"/>
                <w:szCs w:val="19"/>
              </w:rPr>
              <w:t xml:space="preserve">What Decibyl calls and what it needs back</w:t>
            </w:r>
          </w:p>
        </w:tc>
      </w:tr>
      <w:tr>
        <w:trPr>
          <w:tblHeader w:val="false"/>
        </w:trPr>
        <w:tc>
          <w:tcPr>
            <w:tcW w:type="dxa" w:w="260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Customer Validation API</w:t>
            </w:r>
          </w:p>
        </w:tc>
        <w:tc>
          <w:tcPr>
            <w:tcW w:type="dxa" w:w="676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Input: TT number, invoice number. Output: valid / invalid, customer name, optional registered mobile</w:t>
            </w:r>
          </w:p>
        </w:tc>
      </w:tr>
      <w:tr>
        <w:trPr>
          <w:tblHeader w:val="false"/>
        </w:trPr>
        <w:tc>
          <w:tcPr>
            <w:tcW w:type="dxa" w:w="260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OTP Status API</w:t>
            </w:r>
          </w:p>
        </w:tc>
        <w:tc>
          <w:tcPr>
            <w:tcW w:type="dxa" w:w="676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Input: TT, invoice. Output: whether an OTP is already triggered, and when</w:t>
            </w:r>
          </w:p>
        </w:tc>
      </w:tr>
      <w:tr>
        <w:trPr>
          <w:tblHeader w:val="false"/>
        </w:trPr>
        <w:tc>
          <w:tcPr>
            <w:tcW w:type="dxa" w:w="260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Manual OTP API and Secondary OTP API</w:t>
            </w:r>
          </w:p>
        </w:tc>
        <w:tc>
          <w:tcPr>
            <w:tcW w:type="dxa" w:w="676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Input: TT, invoice, consent flag, call id. Output: success / failure. Called only after spoken consent is captured and logged</w:t>
            </w:r>
          </w:p>
        </w:tc>
      </w:tr>
      <w:tr>
        <w:trPr>
          <w:tblHeader w:val="false"/>
        </w:trPr>
        <w:tc>
          <w:tcPr>
            <w:tcW w:type="dxa" w:w="260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Trip Validation API</w:t>
            </w:r>
          </w:p>
        </w:tc>
        <w:tc>
          <w:tcPr>
            <w:tcW w:type="dxa" w:w="676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Input: TT, invoice. Output: trip found / not found</w:t>
            </w:r>
          </w:p>
        </w:tc>
      </w:tr>
      <w:tr>
        <w:trPr>
          <w:tblHeader w:val="false"/>
        </w:trPr>
        <w:tc>
          <w:tcPr>
            <w:tcW w:type="dxa" w:w="260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Device Status API (optional)</w:t>
            </w:r>
          </w:p>
        </w:tc>
        <w:tc>
          <w:tcPr>
            <w:tcW w:type="dxa" w:w="676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If available, GPS and GSM state so the agent can skip asking the caller</w:t>
            </w:r>
          </w:p>
        </w:tc>
      </w:tr>
      <w:tr>
        <w:trPr>
          <w:tblHeader w:val="false"/>
        </w:trPr>
        <w:tc>
          <w:tcPr>
            <w:tcW w:type="dxa" w:w="260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Ticketing endpoint</w:t>
            </w:r>
          </w:p>
        </w:tc>
        <w:tc>
          <w:tcPr>
            <w:tcW w:type="dxa" w:w="676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Where escalations and outcomes land: your helpdesk, a webhook, or email to helpdesk@kritilabs.com</w:t>
            </w:r>
          </w:p>
        </w:tc>
      </w:tr>
      <w:tr>
        <w:trPr>
          <w:tblHeader w:val="false"/>
        </w:trPr>
        <w:tc>
          <w:tcPr>
            <w:tcW w:type="dxa" w:w="260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Staging credentials and 5 test TT/invoice pairs</w:t>
            </w:r>
          </w:p>
        </w:tc>
        <w:tc>
          <w:tcPr>
            <w:tcW w:type="dxa" w:w="676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One valid, one invalid, one with OTP already triggered, one with no trip, one for lock</w:t>
            </w:r>
          </w:p>
        </w:tc>
      </w:tr>
      <w:tr>
        <w:trPr>
          <w:tblHeader w:val="false"/>
        </w:trPr>
        <w:tc>
          <w:tcPr>
            <w:tcW w:type="dxa" w:w="260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A live-agent number for transfers</w:t>
            </w:r>
          </w:p>
        </w:tc>
        <w:tc>
          <w:tcPr>
            <w:tcW w:type="dxa" w:w="676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Or a hunt group; we brief the human before bridging the caller</w:t>
            </w:r>
          </w:p>
        </w:tc>
      </w:tr>
    </w:tbl>
    <w:p>
      <w:pPr>
        <w:spacing w:after="120" w:line="300"/>
      </w:pPr>
      <w:r>
        <w:rPr>
          <w:rFonts w:ascii="Calibri" w:cs="Calibri" w:eastAsia="Calibri" w:hAnsi="Calibri"/>
          <w:color w:val="1F1F1F"/>
          <w:sz w:val="21"/>
          <w:szCs w:val="21"/>
        </w:rPr>
        <w:t xml:space="preserve">Auth for these calls is by API key or bearer token stored in Decibyl's encrypted credential vault, scoped to your organisation. Nothing is hard-coded in the agent.</w:t>
      </w:r>
    </w:p>
    <w:p>
      <w:pPr>
        <w:pStyle w:val="Heading1"/>
        <w:spacing w:after="160" w:before="360"/>
      </w:pPr>
      <w:r>
        <w:t xml:space="preserve">4. Acceptance criteria, as tests</w:t>
      </w:r>
    </w:p>
    <w:p>
      <w:pPr>
        <w:spacing w:after="120" w:line="300"/>
      </w:pPr>
      <w:r>
        <w:rPr>
          <w:rFonts w:ascii="Calibri" w:cs="Calibri" w:eastAsia="Calibri" w:hAnsi="Calibri"/>
          <w:color w:val="1F1F1F"/>
          <w:sz w:val="21"/>
          <w:szCs w:val="21"/>
        </w:rPr>
        <w:t xml:space="preserve">Your document lists acceptance criteria. We turn each into a test call you can hear, run on staging before go-live, and rerun on every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E3DAD5" w:sz="4"/>
              <w:left w:val="single" w:color="E3DAD5" w:sz="4"/>
              <w:bottom w:val="single" w:color="E3DAD5" w:sz="4"/>
              <w:right w:val="single" w:color="E3DAD5" w:sz="4"/>
            </w:tcBorders>
            <w:shd w:fill="E8562A" w:color="auto" w:val="clear"/>
            <w:tcMar>
              <w:top w:type="dxa" w:w="80"/>
              <w:left w:type="dxa" w:w="120"/>
              <w:bottom w:type="dxa" w:w="80"/>
              <w:right w:type="dxa" w:w="120"/>
            </w:tcMar>
          </w:tcPr>
          <w:p>
            <w:pPr>
              <w:spacing w:after="0" w:line="276"/>
            </w:pPr>
            <w:r>
              <w:rPr>
                <w:rFonts w:ascii="Calibri" w:cs="Calibri" w:eastAsia="Calibri" w:hAnsi="Calibri"/>
                <w:b/>
                <w:bCs/>
                <w:color w:val="FFFFFF"/>
                <w:sz w:val="19"/>
                <w:szCs w:val="19"/>
              </w:rPr>
              <w:t xml:space="preserve">Your criterion</w:t>
            </w:r>
          </w:p>
        </w:tc>
        <w:tc>
          <w:tcPr>
            <w:tcW w:type="dxa" w:w="5560"/>
            <w:tcBorders>
              <w:top w:val="single" w:color="E3DAD5" w:sz="4"/>
              <w:left w:val="single" w:color="E3DAD5" w:sz="4"/>
              <w:bottom w:val="single" w:color="E3DAD5" w:sz="4"/>
              <w:right w:val="single" w:color="E3DAD5" w:sz="4"/>
            </w:tcBorders>
            <w:shd w:fill="E8562A" w:color="auto" w:val="clear"/>
            <w:tcMar>
              <w:top w:type="dxa" w:w="80"/>
              <w:left w:type="dxa" w:w="120"/>
              <w:bottom w:type="dxa" w:w="80"/>
              <w:right w:type="dxa" w:w="120"/>
            </w:tcMar>
          </w:tcPr>
          <w:p>
            <w:pPr>
              <w:spacing w:after="0" w:line="276"/>
            </w:pPr>
            <w:r>
              <w:rPr>
                <w:rFonts w:ascii="Calibri" w:cs="Calibri" w:eastAsia="Calibri" w:hAnsi="Calibri"/>
                <w:b/>
                <w:bCs/>
                <w:color w:val="FFFFFF"/>
                <w:sz w:val="19"/>
                <w:szCs w:val="19"/>
              </w:rPr>
              <w:t xml:space="preserve">How we prove it</w:t>
            </w:r>
          </w:p>
        </w:tc>
      </w:tr>
      <w:tr>
        <w:trPr>
          <w:tblHeader w:val="false"/>
        </w:trPr>
        <w:tc>
          <w:tcPr>
            <w:tcW w:type="dxa" w:w="380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Authentication completes before any OTP action</w:t>
            </w:r>
          </w:p>
        </w:tc>
        <w:tc>
          <w:tcPr>
            <w:tcW w:type="dxa" w:w="556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Test call with an invalid invoice: the agent must retry once and transfer; no OTP API is called (visible in the call's tool log)</w:t>
            </w:r>
          </w:p>
        </w:tc>
      </w:tr>
      <w:tr>
        <w:trPr>
          <w:tblHeader w:val="false"/>
        </w:trPr>
        <w:tc>
          <w:tcPr>
            <w:tcW w:type="dxa" w:w="380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OTP status is checked before triggering Manual or Secondary OTP</w:t>
            </w:r>
          </w:p>
        </w:tc>
        <w:tc>
          <w:tcPr>
            <w:tcW w:type="dxa" w:w="556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Test pair with an OTP already triggered: the agent must ask whether it was received and must not call the trigger API</w:t>
            </w:r>
          </w:p>
        </w:tc>
      </w:tr>
      <w:tr>
        <w:trPr>
          <w:tblHeader w:val="false"/>
        </w:trPr>
        <w:tc>
          <w:tcPr>
            <w:tcW w:type="dxa" w:w="380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Manual / Secondary OTP only after consent</w:t>
            </w:r>
          </w:p>
        </w:tc>
        <w:tc>
          <w:tcPr>
            <w:tcW w:type="dxa" w:w="556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Caller says no: agent offers transfer instead; the consent utterance is in the transcript</w:t>
            </w:r>
          </w:p>
        </w:tc>
      </w:tr>
      <w:tr>
        <w:trPr>
          <w:tblHeader w:val="false"/>
        </w:trPr>
        <w:tc>
          <w:tcPr>
            <w:tcW w:type="dxa" w:w="380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Caller guided until unlock or escalation</w:t>
            </w:r>
          </w:p>
        </w:tc>
        <w:tc>
          <w:tcPr>
            <w:tcW w:type="dxa" w:w="556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Happy path in Tamil and in Hindi ends with a spoken confirmation and a logged outcome</w:t>
            </w:r>
          </w:p>
        </w:tc>
      </w:tr>
      <w:tr>
        <w:trPr>
          <w:tblHeader w:val="false"/>
        </w:trPr>
        <w:tc>
          <w:tcPr>
            <w:tcW w:type="dxa" w:w="380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Escalated calls include conversation context</w:t>
            </w:r>
          </w:p>
        </w:tc>
        <w:tc>
          <w:tcPr>
            <w:tcW w:type="dxa" w:w="556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Live agent hears the briefing before the bridge; the ticket carries the transcript</w:t>
            </w:r>
          </w:p>
        </w:tc>
      </w:tr>
      <w:tr>
        <w:trPr>
          <w:tblHeader w:val="false"/>
        </w:trPr>
        <w:tc>
          <w:tcPr>
            <w:tcW w:type="dxa" w:w="380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Trip not found stops troubleshooting</w:t>
            </w:r>
          </w:p>
        </w:tc>
        <w:tc>
          <w:tcPr>
            <w:tcW w:type="dxa" w:w="556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Test pair with no trip: agent reads the Sales Officer and SDMS/YVSMS guidance and closes; no OTP call</w:t>
            </w:r>
          </w:p>
        </w:tc>
      </w:tr>
    </w:tbl>
    <w:p>
      <w:pPr>
        <w:spacing w:after="120" w:line="300"/>
      </w:pPr>
      <w:r>
        <w:rPr>
          <w:rFonts w:ascii="Calibri" w:cs="Calibri" w:eastAsia="Calibri" w:hAnsi="Calibri"/>
          <w:color w:val="1F1F1F"/>
          <w:sz w:val="21"/>
          <w:szCs w:val="21"/>
        </w:rPr>
        <w:t xml:space="preserve">Every call is recorded, transcribed and QA-scored automatically, so you can review a sample each week without listening to all of them.</w:t>
      </w:r>
    </w:p>
    <w:p>
      <w:pPr>
        <w:pStyle w:val="Heading1"/>
        <w:spacing w:after="160" w:before="360"/>
      </w:pPr>
      <w:r>
        <w:t xml:space="preserve">5. Languages and hours</w:t>
      </w:r>
    </w:p>
    <w:p>
      <w:pPr>
        <w:pStyle w:val="ListParagraph"/>
        <w:numPr>
          <w:ilvl w:val="0"/>
          <w:numId w:val="2"/>
        </w:numPr>
        <w:spacing w:after="80" w:line="300"/>
      </w:pPr>
      <w:r>
        <w:rPr>
          <w:rFonts w:ascii="Calibri" w:cs="Calibri" w:eastAsia="Calibri" w:hAnsi="Calibri"/>
          <w:color w:val="1F1F1F"/>
          <w:sz w:val="21"/>
          <w:szCs w:val="21"/>
        </w:rPr>
        <w:t xml:space="preserve">Tamil, Hindi and English on the same number, detected from the first sentence; the agent can switch mid-call when a driver does.</w:t>
      </w:r>
    </w:p>
    <w:p>
      <w:pPr>
        <w:pStyle w:val="ListParagraph"/>
        <w:numPr>
          <w:ilvl w:val="0"/>
          <w:numId w:val="2"/>
        </w:numPr>
        <w:spacing w:after="80" w:line="300"/>
      </w:pPr>
      <w:r>
        <w:rPr>
          <w:rFonts w:ascii="Calibri" w:cs="Calibri" w:eastAsia="Calibri" w:hAnsi="Calibri"/>
          <w:color w:val="1F1F1F"/>
          <w:sz w:val="21"/>
          <w:szCs w:val="21"/>
        </w:rPr>
        <w:t xml:space="preserve">24 hours, 7 days. No shift gap at 2am, which is when a tanker with a stuck lock is most expensive.</w:t>
      </w:r>
    </w:p>
    <w:p>
      <w:pPr>
        <w:pStyle w:val="ListParagraph"/>
        <w:numPr>
          <w:ilvl w:val="0"/>
          <w:numId w:val="2"/>
        </w:numPr>
        <w:spacing w:after="80" w:line="300"/>
      </w:pPr>
      <w:r>
        <w:rPr>
          <w:rFonts w:ascii="Calibri" w:cs="Calibri" w:eastAsia="Calibri" w:hAnsi="Calibri"/>
          <w:color w:val="1F1F1F"/>
          <w:sz w:val="21"/>
          <w:szCs w:val="21"/>
        </w:rPr>
        <w:t xml:space="preserve">Numbers, invoice digits and OTPs are read back before use. Indian number formats and code-mixed speech are handled by speech models Decibyl runs in the India region, so the round trip per turn stays under a second.</w:t>
      </w:r>
    </w:p>
    <w:p>
      <w:pPr>
        <w:pStyle w:val="Heading1"/>
        <w:spacing w:after="160" w:before="360"/>
      </w:pPr>
      <w:r>
        <w:t xml:space="preserve">6. Plan and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E3DAD5" w:sz="4"/>
              <w:left w:val="single" w:color="E3DAD5" w:sz="4"/>
              <w:bottom w:val="single" w:color="E3DAD5" w:sz="4"/>
              <w:right w:val="single" w:color="E3DAD5" w:sz="4"/>
            </w:tcBorders>
            <w:shd w:fill="E8562A" w:color="auto" w:val="clear"/>
            <w:tcMar>
              <w:top w:type="dxa" w:w="80"/>
              <w:left w:type="dxa" w:w="120"/>
              <w:bottom w:type="dxa" w:w="80"/>
              <w:right w:type="dxa" w:w="120"/>
            </w:tcMar>
          </w:tcPr>
          <w:p>
            <w:pPr>
              <w:spacing w:after="0" w:line="276"/>
            </w:pPr>
            <w:r>
              <w:rPr>
                <w:rFonts w:ascii="Calibri" w:cs="Calibri" w:eastAsia="Calibri" w:hAnsi="Calibri"/>
                <w:b/>
                <w:bCs/>
                <w:color w:val="FFFFFF"/>
                <w:sz w:val="19"/>
                <w:szCs w:val="19"/>
              </w:rPr>
              <w:t xml:space="preserve">When</w:t>
            </w:r>
          </w:p>
        </w:tc>
        <w:tc>
          <w:tcPr>
            <w:tcW w:type="dxa" w:w="3600"/>
            <w:tcBorders>
              <w:top w:val="single" w:color="E3DAD5" w:sz="4"/>
              <w:left w:val="single" w:color="E3DAD5" w:sz="4"/>
              <w:bottom w:val="single" w:color="E3DAD5" w:sz="4"/>
              <w:right w:val="single" w:color="E3DAD5" w:sz="4"/>
            </w:tcBorders>
            <w:shd w:fill="E8562A" w:color="auto" w:val="clear"/>
            <w:tcMar>
              <w:top w:type="dxa" w:w="80"/>
              <w:left w:type="dxa" w:w="120"/>
              <w:bottom w:type="dxa" w:w="80"/>
              <w:right w:type="dxa" w:w="120"/>
            </w:tcMar>
          </w:tcPr>
          <w:p>
            <w:pPr>
              <w:spacing w:after="0" w:line="276"/>
            </w:pPr>
            <w:r>
              <w:rPr>
                <w:rFonts w:ascii="Calibri" w:cs="Calibri" w:eastAsia="Calibri" w:hAnsi="Calibri"/>
                <w:b/>
                <w:bCs/>
                <w:color w:val="FFFFFF"/>
                <w:sz w:val="19"/>
                <w:szCs w:val="19"/>
              </w:rPr>
              <w:t xml:space="preserve">What</w:t>
            </w:r>
          </w:p>
        </w:tc>
        <w:tc>
          <w:tcPr>
            <w:tcW w:type="dxa" w:w="3960"/>
            <w:tcBorders>
              <w:top w:val="single" w:color="E3DAD5" w:sz="4"/>
              <w:left w:val="single" w:color="E3DAD5" w:sz="4"/>
              <w:bottom w:val="single" w:color="E3DAD5" w:sz="4"/>
              <w:right w:val="single" w:color="E3DAD5" w:sz="4"/>
            </w:tcBorders>
            <w:shd w:fill="E8562A" w:color="auto" w:val="clear"/>
            <w:tcMar>
              <w:top w:type="dxa" w:w="80"/>
              <w:left w:type="dxa" w:w="120"/>
              <w:bottom w:type="dxa" w:w="80"/>
              <w:right w:type="dxa" w:w="120"/>
            </w:tcMar>
          </w:tcPr>
          <w:p>
            <w:pPr>
              <w:spacing w:after="0" w:line="276"/>
            </w:pPr>
            <w:r>
              <w:rPr>
                <w:rFonts w:ascii="Calibri" w:cs="Calibri" w:eastAsia="Calibri" w:hAnsi="Calibri"/>
                <w:b/>
                <w:bCs/>
                <w:color w:val="FFFFFF"/>
                <w:sz w:val="19"/>
                <w:szCs w:val="19"/>
              </w:rPr>
              <w:t xml:space="preserve">Who</w:t>
            </w:r>
          </w:p>
        </w:tc>
      </w:tr>
      <w:tr>
        <w:trPr>
          <w:tblHeader w:val="false"/>
        </w:trPr>
        <w:tc>
          <w:tcPr>
            <w:tcW w:type="dxa" w:w="180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Week 1</w:t>
            </w:r>
          </w:p>
        </w:tc>
        <w:tc>
          <w:tcPr>
            <w:tcW w:type="dxa" w:w="360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Kick-off call, API access on staging, test TT/invoice pairs, live-agent number</w:t>
            </w:r>
          </w:p>
        </w:tc>
        <w:tc>
          <w:tcPr>
            <w:tcW w:type="dxa" w:w="396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KritiLabs provides; Decibyl configures the agent and connects the four APIs</w:t>
            </w:r>
          </w:p>
        </w:tc>
      </w:tr>
      <w:tr>
        <w:trPr>
          <w:tblHeader w:val="false"/>
        </w:trPr>
        <w:tc>
          <w:tcPr>
            <w:tcW w:type="dxa" w:w="180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Week 2</w:t>
            </w:r>
          </w:p>
        </w:tc>
        <w:tc>
          <w:tcPr>
            <w:tcW w:type="dxa" w:w="360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All five flows on staging; the test calls in section 4 run with your team on the line</w:t>
            </w:r>
          </w:p>
        </w:tc>
        <w:tc>
          <w:tcPr>
            <w:tcW w:type="dxa" w:w="396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Both; sign-off on the test sheet</w:t>
            </w:r>
          </w:p>
        </w:tc>
      </w:tr>
      <w:tr>
        <w:trPr>
          <w:tblHeader w:val="false"/>
        </w:trPr>
        <w:tc>
          <w:tcPr>
            <w:tcW w:type="dxa" w:w="180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Week 3</w:t>
            </w:r>
          </w:p>
        </w:tc>
        <w:tc>
          <w:tcPr>
            <w:tcW w:type="dxa" w:w="360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Production number live; call forwarding from your support line or a new published number; first week reviewed daily</w:t>
            </w:r>
          </w:p>
        </w:tc>
        <w:tc>
          <w:tcPr>
            <w:tcW w:type="dxa" w:w="396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Decibyl monitors; KritiLabs reviews QA scores</w:t>
            </w:r>
          </w:p>
        </w:tc>
      </w:tr>
      <w:tr>
        <w:trPr>
          <w:tblHeader w:val="false"/>
        </w:trPr>
        <w:tc>
          <w:tcPr>
            <w:tcW w:type="dxa" w:w="180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Ongoing</w:t>
            </w:r>
          </w:p>
        </w:tc>
        <w:tc>
          <w:tcPr>
            <w:tcW w:type="dxa" w:w="360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Weekly QA sample, monthly usage statement with GST invoice, changes to scripts within a day</w:t>
            </w:r>
          </w:p>
        </w:tc>
        <w:tc>
          <w:tcPr>
            <w:tcW w:type="dxa" w:w="396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Decibyl</w:t>
            </w:r>
          </w:p>
        </w:tc>
      </w:tr>
    </w:tbl>
    <w:p>
      <w:pPr>
        <w:pStyle w:val="Heading1"/>
        <w:spacing w:after="160" w:before="360"/>
      </w:pPr>
      <w:r>
        <w:t xml:space="preserve">7. Commercials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E3DAD5" w:sz="4"/>
              <w:left w:val="single" w:color="E3DAD5" w:sz="4"/>
              <w:bottom w:val="single" w:color="E3DAD5" w:sz="4"/>
              <w:right w:val="single" w:color="E3DAD5" w:sz="4"/>
            </w:tcBorders>
            <w:shd w:fill="E8562A" w:color="auto" w:val="clear"/>
            <w:tcMar>
              <w:top w:type="dxa" w:w="80"/>
              <w:left w:type="dxa" w:w="120"/>
              <w:bottom w:type="dxa" w:w="80"/>
              <w:right w:type="dxa" w:w="120"/>
            </w:tcMar>
          </w:tcPr>
          <w:p>
            <w:pPr>
              <w:spacing w:after="0" w:line="276"/>
            </w:pPr>
            <w:r>
              <w:rPr>
                <w:rFonts w:ascii="Calibri" w:cs="Calibri" w:eastAsia="Calibri" w:hAnsi="Calibri"/>
                <w:b/>
                <w:bCs/>
                <w:color w:val="FFFFFF"/>
                <w:sz w:val="19"/>
                <w:szCs w:val="19"/>
              </w:rPr>
              <w:t xml:space="preserve">Item</w:t>
            </w:r>
          </w:p>
        </w:tc>
        <w:tc>
          <w:tcPr>
            <w:tcW w:type="dxa" w:w="5960"/>
            <w:tcBorders>
              <w:top w:val="single" w:color="E3DAD5" w:sz="4"/>
              <w:left w:val="single" w:color="E3DAD5" w:sz="4"/>
              <w:bottom w:val="single" w:color="E3DAD5" w:sz="4"/>
              <w:right w:val="single" w:color="E3DAD5" w:sz="4"/>
            </w:tcBorders>
            <w:shd w:fill="E8562A" w:color="auto" w:val="clear"/>
            <w:tcMar>
              <w:top w:type="dxa" w:w="80"/>
              <w:left w:type="dxa" w:w="120"/>
              <w:bottom w:type="dxa" w:w="80"/>
              <w:right w:type="dxa" w:w="120"/>
            </w:tcMar>
          </w:tcPr>
          <w:p>
            <w:pPr>
              <w:spacing w:after="0" w:line="276"/>
            </w:pPr>
            <w:r>
              <w:rPr>
                <w:rFonts w:ascii="Calibri" w:cs="Calibri" w:eastAsia="Calibri" w:hAnsi="Calibri"/>
                <w:b/>
                <w:bCs/>
                <w:color w:val="FFFFFF"/>
                <w:sz w:val="19"/>
                <w:szCs w:val="19"/>
              </w:rPr>
              <w:t xml:space="preserve">Price (all figures include 18% GST)</w:t>
            </w:r>
          </w:p>
        </w:tc>
      </w:tr>
      <w:tr>
        <w:trPr>
          <w:tblHeader w:val="false"/>
        </w:trPr>
        <w:tc>
          <w:tcPr>
            <w:tcW w:type="dxa" w:w="340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One-time setup: five flows, four API integrations, test sheet, live-agent transfer, go-live</w:t>
            </w:r>
          </w:p>
        </w:tc>
        <w:tc>
          <w:tcPr>
            <w:tcW w:type="dxa" w:w="596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₹30,000, invoiced at kick-off. Waived if the first six months are paid in advance.</w:t>
            </w:r>
          </w:p>
        </w:tc>
      </w:tr>
      <w:tr>
        <w:trPr>
          <w:tblHeader w:val="false"/>
        </w:trPr>
        <w:tc>
          <w:tcPr>
            <w:tcW w:type="dxa" w:w="340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Monthly service: the Elock support line, 24×7, Tamil / Hindi / English, recording, transcripts, QA scoring, weekly review</w:t>
            </w:r>
          </w:p>
        </w:tc>
        <w:tc>
          <w:tcPr>
            <w:tcW w:type="dxa" w:w="596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₹15,000 per month, including 2,000 call minutes</w:t>
            </w:r>
          </w:p>
        </w:tc>
      </w:tr>
      <w:tr>
        <w:trPr>
          <w:tblHeader w:val="false"/>
        </w:trPr>
        <w:tc>
          <w:tcPr>
            <w:tcW w:type="dxa" w:w="340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Usage beyond the included minutes</w:t>
            </w:r>
          </w:p>
        </w:tc>
        <w:tc>
          <w:tcPr>
            <w:tcW w:type="dxa" w:w="596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₹8 per minute, billed on 15-second pulses, on the same monthly statement</w:t>
            </w:r>
          </w:p>
        </w:tc>
      </w:tr>
      <w:tr>
        <w:trPr>
          <w:tblHeader w:val="false"/>
        </w:trPr>
        <w:tc>
          <w:tcPr>
            <w:tcW w:type="dxa" w:w="340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Pilot before commitment</w:t>
            </w:r>
          </w:p>
        </w:tc>
        <w:tc>
          <w:tcPr>
            <w:tcW w:type="dxa" w:w="5960"/>
            <w:tcBorders>
              <w:top w:val="single" w:color="E3DAD5" w:sz="4"/>
              <w:left w:val="single" w:color="E3DAD5" w:sz="4"/>
              <w:bottom w:val="single" w:color="E3DAD5" w:sz="4"/>
              <w:right w:val="single" w:color="E3DAD5" w:sz="4"/>
            </w:tcBorders>
            <w:shd w:fill="FBEFE9" w:color="auto" w:val="clear"/>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Two weeks on staging plus the first production week at no monthly charge; you fund ₹1,000 of call credit and Decibyl matches it</w:t>
            </w:r>
          </w:p>
        </w:tc>
      </w:tr>
      <w:tr>
        <w:trPr>
          <w:tblHeader w:val="false"/>
        </w:trPr>
        <w:tc>
          <w:tcPr>
            <w:tcW w:type="dxa" w:w="340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Cancellation</w:t>
            </w:r>
          </w:p>
        </w:tc>
        <w:tc>
          <w:tcPr>
            <w:tcW w:type="dxa" w:w="5960"/>
            <w:tcBorders>
              <w:top w:val="single" w:color="E3DAD5" w:sz="4"/>
              <w:left w:val="single" w:color="E3DAD5" w:sz="4"/>
              <w:bottom w:val="single" w:color="E3DAD5" w:sz="4"/>
              <w:right w:val="single" w:color="E3DAD5" w:sz="4"/>
            </w:tcBorders>
            <w:tcMar>
              <w:top w:type="dxa" w:w="80"/>
              <w:left w:type="dxa" w:w="120"/>
              <w:bottom w:type="dxa" w:w="80"/>
              <w:right w:type="dxa" w:w="120"/>
            </w:tcMar>
          </w:tcPr>
          <w:p>
            <w:pPr>
              <w:spacing w:after="0" w:line="276"/>
            </w:pPr>
            <w:r>
              <w:rPr>
                <w:rFonts w:ascii="Calibri" w:cs="Calibri" w:eastAsia="Calibri" w:hAnsi="Calibri"/>
                <w:b w:val="false"/>
                <w:bCs w:val="false"/>
                <w:color w:val="1F1F1F"/>
                <w:sz w:val="19"/>
                <w:szCs w:val="19"/>
              </w:rPr>
              <w:t xml:space="preserve">Any month, 30 days' notice. Prepaid balance carries forward and is refundable on exit.</w:t>
            </w:r>
          </w:p>
        </w:tc>
      </w:tr>
    </w:tbl>
    <w:p>
      <w:pPr>
        <w:spacing w:after="120" w:line="300"/>
      </w:pPr>
      <w:r>
        <w:rPr>
          <w:rFonts w:ascii="Calibri" w:cs="Calibri" w:eastAsia="Calibri" w:hAnsi="Calibri"/>
          <w:color w:val="1F1F1F"/>
          <w:sz w:val="21"/>
          <w:szCs w:val="21"/>
        </w:rPr>
        <w:t xml:space="preserve">For reference: a 24×7 L1 desk needs three people in rotation at ₹25,000 to ₹35,000 each fully loaded. This line costs less than one of them and does not need training for the next flow you add.</w:t>
      </w:r>
    </w:p>
    <w:p>
      <w:pPr>
        <w:pStyle w:val="Heading1"/>
        <w:spacing w:after="160" w:before="360"/>
      </w:pPr>
      <w:r>
        <w:t xml:space="preserve">8. Beyond the support line</w:t>
      </w:r>
    </w:p>
    <w:p>
      <w:pPr>
        <w:spacing w:after="120" w:line="300"/>
      </w:pPr>
      <w:r>
        <w:rPr>
          <w:rFonts w:ascii="Calibri" w:cs="Calibri" w:eastAsia="Calibri" w:hAnsi="Calibri"/>
          <w:color w:val="1F1F1F"/>
          <w:sz w:val="21"/>
          <w:szCs w:val="21"/>
        </w:rPr>
        <w:t xml:space="preserve">The same agent, triggered by your platform instead of by a phone call, can ring the transporter or plant contact the moment a seal is tampered or a vehicle deviates, say what happened in their language, and write back what they said. That is an outbound API product priced per minute with no monthly minimum, and it is the natural second step once the support line has run for a month. It is not in this quote.</w:t>
      </w:r>
    </w:p>
    <w:p>
      <w:pPr>
        <w:pStyle w:val="Heading1"/>
        <w:spacing w:after="160" w:before="360"/>
      </w:pPr>
      <w:r>
        <w:t xml:space="preserve">9. Data, compliance and hosting</w:t>
      </w:r>
    </w:p>
    <w:p>
      <w:pPr>
        <w:pStyle w:val="ListParagraph"/>
        <w:numPr>
          <w:ilvl w:val="0"/>
          <w:numId w:val="2"/>
        </w:numPr>
        <w:spacing w:after="80" w:line="300"/>
      </w:pPr>
      <w:r>
        <w:rPr>
          <w:rFonts w:ascii="Calibri" w:cs="Calibri" w:eastAsia="Calibri" w:hAnsi="Calibri"/>
          <w:color w:val="1F1F1F"/>
          <w:sz w:val="21"/>
          <w:szCs w:val="21"/>
        </w:rPr>
        <w:t xml:space="preserve">Hosted in India (AWS Mumbai). Call audio, transcripts and OTP consent records stay in India.</w:t>
      </w:r>
    </w:p>
    <w:p>
      <w:pPr>
        <w:pStyle w:val="ListParagraph"/>
        <w:numPr>
          <w:ilvl w:val="0"/>
          <w:numId w:val="2"/>
        </w:numPr>
        <w:spacing w:after="80" w:line="300"/>
      </w:pPr>
      <w:r>
        <w:rPr>
          <w:rFonts w:ascii="Calibri" w:cs="Calibri" w:eastAsia="Calibri" w:hAnsi="Calibri"/>
          <w:color w:val="1F1F1F"/>
          <w:sz w:val="21"/>
          <w:szCs w:val="21"/>
        </w:rPr>
        <w:t xml:space="preserve">Every call opens with a one-line recording notice in the caller's language.</w:t>
      </w:r>
    </w:p>
    <w:p>
      <w:pPr>
        <w:pStyle w:val="ListParagraph"/>
        <w:numPr>
          <w:ilvl w:val="0"/>
          <w:numId w:val="2"/>
        </w:numPr>
        <w:spacing w:after="80" w:line="300"/>
      </w:pPr>
      <w:r>
        <w:rPr>
          <w:rFonts w:ascii="Calibri" w:cs="Calibri" w:eastAsia="Calibri" w:hAnsi="Calibri"/>
          <w:color w:val="1F1F1F"/>
          <w:sz w:val="21"/>
          <w:szCs w:val="21"/>
        </w:rPr>
        <w:t xml:space="preserve">OTP values are never spoken back by the agent and are masked in transcripts; only your API sees them.</w:t>
      </w:r>
    </w:p>
    <w:p>
      <w:pPr>
        <w:pStyle w:val="ListParagraph"/>
        <w:numPr>
          <w:ilvl w:val="0"/>
          <w:numId w:val="2"/>
        </w:numPr>
        <w:spacing w:after="80" w:line="300"/>
      </w:pPr>
      <w:r>
        <w:rPr>
          <w:rFonts w:ascii="Calibri" w:cs="Calibri" w:eastAsia="Calibri" w:hAnsi="Calibri"/>
          <w:color w:val="1F1F1F"/>
          <w:sz w:val="21"/>
          <w:szCs w:val="21"/>
        </w:rPr>
        <w:t xml:space="preserve">Data processing agreement and acceptable-use policy available at decibyl.ai/legal.</w:t>
      </w:r>
    </w:p>
    <w:p>
      <w:pPr>
        <w:pStyle w:val="Heading1"/>
        <w:spacing w:after="160" w:before="360"/>
      </w:pPr>
      <w:r>
        <w:t xml:space="preserve">10. Next step</w:t>
      </w:r>
    </w:p>
    <w:p>
      <w:pPr>
        <w:spacing w:after="120" w:line="300"/>
      </w:pPr>
      <w:r>
        <w:rPr>
          <w:rFonts w:ascii="Calibri" w:cs="Calibri" w:eastAsia="Calibri" w:hAnsi="Calibri"/>
          <w:color w:val="1F1F1F"/>
          <w:sz w:val="21"/>
          <w:szCs w:val="21"/>
        </w:rPr>
        <w:t xml:space="preserve">Reply with a kick-off slot this week and the name of the engineer who owns the OTP APIs. We can have the Manual OTP flow taking test calls on staging within three working days of receiving API access.</w:t>
      </w:r>
    </w:p>
    <w:p>
      <w:pPr>
        <w:spacing w:after="120" w:line="300"/>
      </w:pPr>
      <w:r>
        <w:rPr>
          <w:rFonts w:ascii="Calibri" w:cs="Calibri" w:eastAsia="Calibri" w:hAnsi="Calibri"/>
          <w:b/>
          <w:bCs/>
          <w:color w:val="1F1F1F"/>
          <w:sz w:val="21"/>
          <w:szCs w:val="21"/>
        </w:rPr>
        <w:t xml:space="preserve">Nithish Kalyan</w:t>
      </w:r>
      <w:r>
        <w:rPr>
          <w:rFonts w:ascii="Calibri" w:cs="Calibri" w:eastAsia="Calibri" w:hAnsi="Calibri"/>
          <w:color w:val="1F1F1F"/>
          <w:sz w:val="21"/>
          <w:szCs w:val="21"/>
        </w:rPr>
        <w:t xml:space="preserve">  ·  Decibyl  ·  nithish@decibyl.ai  ·  decibyl.ai</w:t>
      </w:r>
    </w:p>
    <w:p>
      <w:pPr>
        <w:spacing w:after="120" w:line="300"/>
      </w:pPr>
      <w:r>
        <w:rPr>
          <w:rFonts w:ascii="Calibri" w:cs="Calibri" w:eastAsia="Calibri" w:hAnsi="Calibri"/>
          <w:i/>
          <w:iCs/>
          <w:color w:val="6B6B6B"/>
          <w:sz w:val="19"/>
          <w:szCs w:val="19"/>
        </w:rPr>
        <w:t xml:space="preserve">Built by someone who ran procurement and manufacturing operations at Reliance and built the procurement agents on the Jio platform. A tanker with a stuck lock at 2am is a problem I have had on my own desk.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1F1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2026-09-14T00:24:42.686Z</dcterms:created>
  <dcterms:modified xsi:type="dcterms:W3CDTF">2026-09-14T00:24:42.687Z</dcterms:modified>
</cp:coreProperties>
</file>

<file path=docProps/custom.xml><?xml version="1.0" encoding="utf-8"?>
<Properties xmlns="http://schemas.openxmlformats.org/officeDocument/2006/custom-properties" xmlns:vt="http://schemas.openxmlformats.org/officeDocument/2006/docPropsVTypes"/>
</file>