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CROPwms</w:t>
      </w:r>
    </w:p>
    <w:p>
      <w:pPr>
        <w:pStyle w:val="Heading1"/>
      </w:pPr>
      <w:r>
        <w:t>Australian-first SaaS legal drafting pack</w:t>
      </w:r>
    </w:p>
    <w:p>
      <w:r>
        <w:t>Version 0.1  |  24 October 2026  |  For legal and product review</w:t>
      </w:r>
    </w:p>
    <w:p>
      <w:r>
        <w:t>Assumed model: existing Australian company; initially Australian business customers; employee-facing mobile app; Australian-hosted primary customer data; pricing and enabled workforce features to be decided; potential international expansion later.</w:t>
      </w:r>
    </w:p>
    <w:p>
      <w:r>
        <w:t>IMPORTANT: These are substantive working drafts, not an opinion that the documents are legally complete or suitable for immediate publication. Bracketed fields and expressly conditional provisions must be resolved. The promises about service levels, security, data locations, retention and subprocessors must be validated against the real product before signing customers.</w:t>
      </w:r>
    </w:p>
    <w:p>
      <w:pPr>
        <w:pStyle w:val="Heading1"/>
      </w:pPr>
      <w:r>
        <w:t>Contents</w:t>
      </w:r>
    </w:p>
    <w:p>
      <w:pPr>
        <w:pStyle w:val="ListBullet"/>
      </w:pPr>
      <w:r>
        <w:t>1. Master SaaS Subscription Agreement</w:t>
      </w:r>
    </w:p>
    <w:p>
      <w:pPr>
        <w:pStyle w:val="ListBullet"/>
      </w:pPr>
      <w:r>
        <w:t>2. Data Processing Agreement</w:t>
      </w:r>
    </w:p>
    <w:p>
      <w:pPr>
        <w:pStyle w:val="ListBullet"/>
      </w:pPr>
      <w:r>
        <w:t>3. Public Privacy Policy</w:t>
      </w:r>
    </w:p>
    <w:p>
      <w:pPr>
        <w:pStyle w:val="ListBullet"/>
      </w:pPr>
      <w:r>
        <w:t>4. Mobile Worker Privacy Collection Notice</w:t>
      </w:r>
    </w:p>
    <w:p>
      <w:pPr>
        <w:pStyle w:val="ListBullet"/>
      </w:pPr>
      <w:r>
        <w:t>5. Acceptable Use Policy</w:t>
      </w:r>
    </w:p>
    <w:p>
      <w:pPr>
        <w:pStyle w:val="ListBullet"/>
      </w:pPr>
      <w:r>
        <w:t>6. Service Levels, Security and Data Lifecycle Schedules</w:t>
      </w:r>
    </w:p>
    <w:p>
      <w:pPr>
        <w:pStyle w:val="ListBullet"/>
      </w:pPr>
      <w:r>
        <w:t>7. Launch decisions, implementation requirements and source references</w:t>
      </w:r>
    </w:p>
    <w:p>
      <w:r>
        <w:br w:type="page"/>
      </w:r>
    </w:p>
    <w:p>
      <w:pPr>
        <w:pStyle w:val="Heading1"/>
      </w:pPr>
      <w:r>
        <w:t>1. MASTER SAAS SUBSCRIPTION AGREEMENT</w:t>
      </w:r>
    </w:p>
    <w:p>
      <w:r>
        <w:t>Parties: [FULL LEGAL ENTITY NAME] ABN [ABN] of [REGISTERED ADDRESS] (Provider, CROPwms, we/us) and the entity identified on an accepted Order (Customer, you). Effective when Customer accepts the Order and these Terms. Version [DATE/VERSION].</w:t>
      </w:r>
    </w:p>
    <w:p>
      <w:pPr>
        <w:pStyle w:val="Heading1"/>
      </w:pPr>
      <w:r>
        <w:t>1. Definitions and contract structure</w:t>
      </w:r>
    </w:p>
    <w:p>
      <w:pPr>
        <w:pStyle w:val="Heading2"/>
      </w:pPr>
      <w:r>
        <w:t>1.1 Core terms</w:t>
      </w:r>
    </w:p>
    <w:p>
      <w:r>
        <w:t>“Authorised User” means an individual to whom Customer grants access, including administrators and workers using the mobile app. “Customer Data” means information Customer or its Authorised Users submit to or generate within the Services on Customer’s behalf, excluding Provider account, billing, security and operational data created for Provider’s own purposes. “Services” means the subscribed CROPwms functionality specified on the Order. “Order” means the accepted online or signed subscription order identifying the customer, features, term, fees and usage limits.</w:t>
      </w:r>
    </w:p>
    <w:p>
      <w:pPr>
        <w:pStyle w:val="Heading2"/>
      </w:pPr>
      <w:r>
        <w:t>1.2 Contract hierarchy</w:t>
      </w:r>
    </w:p>
    <w:p>
      <w:r>
        <w:t>The Order, this Agreement and its incorporated Data Processing Agreement (DPA), Acceptable Use Policy, Service Level Schedule and Security/Data Lifecycle Schedule together form the Contract. If provisions conflict, the DPA prevails for processing personal information; the Order prevails for expressly negotiated commercial details; otherwise these Terms prevail. Nothing overrides applicable law.</w:t>
      </w:r>
    </w:p>
    <w:p>
      <w:pPr>
        <w:pStyle w:val="Heading2"/>
      </w:pPr>
      <w:r>
        <w:t>1.3 Business use</w:t>
      </w:r>
    </w:p>
    <w:p>
      <w:r>
        <w:t>Customer confirms it is acquiring the Services for business purposes and has authority to bind its organisation. Worker app users are not required to purchase subscriptions; the employer is the contractual customer. Workers receive a separate privacy notice and relevant app-use conditions.</w:t>
      </w:r>
    </w:p>
    <w:p>
      <w:pPr>
        <w:pStyle w:val="Heading1"/>
      </w:pPr>
      <w:r>
        <w:t>2. Services and account administration</w:t>
      </w:r>
    </w:p>
    <w:p>
      <w:pPr>
        <w:pStyle w:val="Heading2"/>
      </w:pPr>
      <w:r>
        <w:t>2.1 Access licence</w:t>
      </w:r>
    </w:p>
    <w:p>
      <w:r>
        <w:t>During an active subscription, Provider grants Customer a non-exclusive, non-transferable right to use the Services internally for its lawful workforce operations and to permit Authorised Users to access the relevant functions. Customer may not resell or sublicense the Services without written permission.</w:t>
      </w:r>
    </w:p>
    <w:p>
      <w:pPr>
        <w:pStyle w:val="Heading2"/>
      </w:pPr>
      <w:r>
        <w:t>2.2 Features and changes</w:t>
      </w:r>
    </w:p>
    <w:p>
      <w:r>
        <w:t>Subscribed features and limits appear in the Order. Provider may improve or modify the Services, but must not materially reduce core paid functionality during an active prepaid term without a reasonably equivalent replacement or the Customer’s right to terminate the affected portion and receive a pro-rata refund for unused prepaid fees. Security-critical changes may be made promptly with notice as soon as practicable.</w:t>
      </w:r>
    </w:p>
    <w:p>
      <w:pPr>
        <w:pStyle w:val="Heading2"/>
      </w:pPr>
      <w:r>
        <w:t>2.3 Accounts</w:t>
      </w:r>
    </w:p>
    <w:p>
      <w:r>
        <w:t>Customer controls which staff may access its workspace and their assigned roles. Provider is responsible for the platform’s identity controls as documented; Customer is responsible for its role assignments, timely removal of access and reasonable safeguarding of its credentials. Each party promptly notifies the other of suspected account compromise.</w:t>
      </w:r>
    </w:p>
    <w:p>
      <w:pPr>
        <w:pStyle w:val="Heading2"/>
      </w:pPr>
      <w:r>
        <w:t>2.4 Worker app</w:t>
      </w:r>
    </w:p>
    <w:p>
      <w:r>
        <w:t>The worker-facing mobile app is an access channel to the Customer’s workforce workspace. Provider will distinguish its own app account information from employment records controlled by Customer. No worker payment is required unless a separately disclosed consumer product is introduced under separate terms.</w:t>
      </w:r>
    </w:p>
    <w:p>
      <w:pPr>
        <w:pStyle w:val="Heading1"/>
      </w:pPr>
      <w:r>
        <w:t>3. Customer responsibilities and employment compliance</w:t>
      </w:r>
    </w:p>
    <w:p>
      <w:pPr>
        <w:pStyle w:val="Heading2"/>
      </w:pPr>
      <w:r>
        <w:t>3.1 Lawful use</w:t>
      </w:r>
    </w:p>
    <w:p>
      <w:r>
        <w:t>Customer must use the Services lawfully; provide appropriate worker collection notices; obtain permissions where required for monitoring, location, identity checks or sensitive information; and not upload data it has no right to use.</w:t>
      </w:r>
    </w:p>
    <w:p>
      <w:pPr>
        <w:pStyle w:val="Heading2"/>
      </w:pPr>
      <w:r>
        <w:t>3.2 Employer decisions</w:t>
      </w:r>
    </w:p>
    <w:p>
      <w:r>
        <w:t>Customer is solely responsible for wages, awards, classifications, employment contracts, rosters, staffing and legal decisions it makes, and for reviewing outputs before relying on them. Provider is responsible for the Services meeting its contractual specifications and must not disclaim responsibility for errors caused by its own breach.</w:t>
      </w:r>
    </w:p>
    <w:p>
      <w:pPr>
        <w:pStyle w:val="Heading2"/>
      </w:pPr>
      <w:r>
        <w:t>3.3 Record preservation</w:t>
      </w:r>
    </w:p>
    <w:p>
      <w:r>
        <w:t>Customer is responsible for determining applicable legal record-retention obligations. Provider shall provide the export and transition mechanisms described in the Data Lifecycle Schedule and shall not deliberately destroy Customer Data in contravention of an agreed preservation hold or applicable law.</w:t>
      </w:r>
    </w:p>
    <w:p>
      <w:pPr>
        <w:pStyle w:val="Heading1"/>
      </w:pPr>
      <w:r>
        <w:t>4. Fees, renewals and cancellation</w:t>
      </w:r>
    </w:p>
    <w:p>
      <w:pPr>
        <w:pStyle w:val="Heading2"/>
      </w:pPr>
      <w:r>
        <w:t>4.1 Fees</w:t>
      </w:r>
    </w:p>
    <w:p>
      <w:r>
        <w:t>The Order specifies fees, currency (AUD unless otherwise stated), billing basis, applicable GST, included users/features, usage measurement and invoicing/payment method. No undisclosed seat minimum or overage charges apply. The customer can review its usage and projected charges before changes take effect.</w:t>
      </w:r>
    </w:p>
    <w:p>
      <w:pPr>
        <w:pStyle w:val="Heading2"/>
      </w:pPr>
      <w:r>
        <w:t>4.2 Subscription term</w:t>
      </w:r>
    </w:p>
    <w:p>
      <w:r>
        <w:t>Unless an Order expressly provides otherwise, subscriptions renew month-to-month and may be cancelled before the next renewal date, taking effect at the end of the current paid period. No long-term commitment arises merely from using the worker app.</w:t>
      </w:r>
    </w:p>
    <w:p>
      <w:pPr>
        <w:pStyle w:val="Heading2"/>
      </w:pPr>
      <w:r>
        <w:t>4.3 Fee changes</w:t>
      </w:r>
    </w:p>
    <w:p>
      <w:r>
        <w:t>Provider may alter the price of future monthly periods on at least 30 days’ advance notice, with a right to cancel before the increase applies. Fixed-term prepaid fees cannot increase during that term without Customer’s agreement.</w:t>
      </w:r>
    </w:p>
    <w:p>
      <w:pPr>
        <w:pStyle w:val="Heading2"/>
      </w:pPr>
      <w:r>
        <w:t>4.4 Failed payments</w:t>
      </w:r>
    </w:p>
    <w:p>
      <w:r>
        <w:t>If a payment is overdue, Provider will provide written notice and a reasonable period of at least 14 days to resolve it before ordinary non-critical access is suspended, except for fraud or significant security risk. Customer retains reasonable access to export employment records during a payment dispute, subject to proportionate safeguards.</w:t>
      </w:r>
    </w:p>
    <w:p>
      <w:pPr>
        <w:pStyle w:val="Heading2"/>
      </w:pPr>
      <w:r>
        <w:t>4.5 Refunds</w:t>
      </w:r>
    </w:p>
    <w:p>
      <w:r>
        <w:t>Prepaid fees are ordinarily non-refundable for Customer’s convenience cancellation during the paid period, but Provider will provide refunds or other remedies required by law and pro-rata refunds where expressly stated in this Agreement, including certain Provider breach or material degradation events.</w:t>
      </w:r>
    </w:p>
    <w:p>
      <w:pPr>
        <w:pStyle w:val="Heading1"/>
      </w:pPr>
      <w:r>
        <w:t>5. Ownership, confidentiality and privacy</w:t>
      </w:r>
    </w:p>
    <w:p>
      <w:pPr>
        <w:pStyle w:val="Heading2"/>
      </w:pPr>
      <w:r>
        <w:t>5.1 Intellectual property</w:t>
      </w:r>
    </w:p>
    <w:p>
      <w:r>
        <w:t>Provider and licensors retain all rights in the platform, software, documentation and improvements. Customer retains its rights in Customer Data. Customer grants Provider only the limited rights needed to host, process, transmit, secure, support and lawfully operate the Services under the Contract.</w:t>
      </w:r>
    </w:p>
    <w:p>
      <w:pPr>
        <w:pStyle w:val="Heading2"/>
      </w:pPr>
      <w:r>
        <w:t>5.2 Confidential information</w:t>
      </w:r>
    </w:p>
    <w:p>
      <w:r>
        <w:t>Each party must safeguard the other’s non-public commercial, technical and personal information with reasonable care; use it only for contractual purposes; and disclose it only to authorised personnel, professional advisers or subcontractors subject to appropriate protections, or where legally compelled. Exclusions apply to information lawfully public, already known, independently developed or lawfully received.</w:t>
      </w:r>
    </w:p>
    <w:p>
      <w:pPr>
        <w:pStyle w:val="Heading2"/>
      </w:pPr>
      <w:r>
        <w:t>5.3 Privacy and restrictions</w:t>
      </w:r>
    </w:p>
    <w:p>
      <w:r>
        <w:t>Both parties shall comply with privacy laws applicable to them. Provider must comply with the DPA. Provider must not sell identifiable Customer Data, target advertising to workers using employer records, or train general-purpose AI models on identifiable Customer Data unless a separate lawful written agreement specifically authorises it.</w:t>
      </w:r>
    </w:p>
    <w:p>
      <w:pPr>
        <w:pStyle w:val="Heading1"/>
      </w:pPr>
      <w:r>
        <w:t>6. Availability, support and security</w:t>
      </w:r>
    </w:p>
    <w:p>
      <w:pPr>
        <w:pStyle w:val="Heading2"/>
      </w:pPr>
      <w:r>
        <w:t>6.1 Performance</w:t>
      </w:r>
    </w:p>
    <w:p>
      <w:r>
        <w:t>Provider will provide the Services with reasonable care and skill and in material accordance with current documentation. Support channels, support hours, response goals, maintenance rules and any uptime commitments are in the Service Level Schedule; unverified numerical targets must not be represented as effective guarantees.</w:t>
      </w:r>
    </w:p>
    <w:p>
      <w:pPr>
        <w:pStyle w:val="Heading2"/>
      </w:pPr>
      <w:r>
        <w:t>6.2 Security</w:t>
      </w:r>
    </w:p>
    <w:p>
      <w:r>
        <w:t>Provider will maintain reasonable technical and organisational safeguards proportionate to the nature of information processed, including access restrictions, tenant isolation, encryption controls, backups and incident processes described in the Security Schedule.</w:t>
      </w:r>
    </w:p>
    <w:p>
      <w:pPr>
        <w:pStyle w:val="Heading2"/>
      </w:pPr>
      <w:r>
        <w:t>6.3 Third-party services</w:t>
      </w:r>
    </w:p>
    <w:p>
      <w:r>
        <w:t>Provider remains responsible for subcontractors used to perform its obligations, subject to lawful exclusions, and will disclose material subprocessors as described in the DPA. Customer is responsible for third-party integrations it independently enables, except where the issue arises from Provider’s breach.</w:t>
      </w:r>
    </w:p>
    <w:p>
      <w:pPr>
        <w:pStyle w:val="Heading1"/>
      </w:pPr>
      <w:r>
        <w:t>7. Suspension and termination</w:t>
      </w:r>
    </w:p>
    <w:p>
      <w:pPr>
        <w:pStyle w:val="Heading2"/>
      </w:pPr>
      <w:r>
        <w:t>7.1 Suspension</w:t>
      </w:r>
    </w:p>
    <w:p>
      <w:r>
        <w:t>Provider may suspend affected access when reasonably necessary to respond to material security threats, unlawful use or substantial breach, using the least disruptive practicable measure. Where feasible, notice and an opportunity to remedy will be given. Provider will restore access promptly when grounds cease.</w:t>
      </w:r>
    </w:p>
    <w:p>
      <w:pPr>
        <w:pStyle w:val="Heading2"/>
      </w:pPr>
      <w:r>
        <w:t>7.2 Termination for cause</w:t>
      </w:r>
    </w:p>
    <w:p>
      <w:r>
        <w:t>Either party may terminate for the other’s material breach not remedied within 30 days after written notice, or immediately for an irremediable material breach. Insolvency termination rights apply only to the extent lawful.</w:t>
      </w:r>
    </w:p>
    <w:p>
      <w:pPr>
        <w:pStyle w:val="Heading2"/>
      </w:pPr>
      <w:r>
        <w:t>7.3 Exit and data</w:t>
      </w:r>
    </w:p>
    <w:p>
      <w:r>
        <w:t>Following expiry/termination, Customer receives the export and deletion arrangements in the Data Lifecycle Schedule. Accrued payment obligations, confidentiality, data protection, liability and dispute clauses survive where their nature requires. Provider shall not retain Customer Data for unrelated use after termination.</w:t>
      </w:r>
    </w:p>
    <w:p>
      <w:pPr>
        <w:pStyle w:val="Heading1"/>
      </w:pPr>
      <w:r>
        <w:t>8. Liability and dispute handling</w:t>
      </w:r>
    </w:p>
    <w:p>
      <w:pPr>
        <w:pStyle w:val="Heading2"/>
      </w:pPr>
      <w:r>
        <w:t>8.1 Non-excludable rights</w:t>
      </w:r>
    </w:p>
    <w:p>
      <w:r>
        <w:t>Nothing in this Agreement excludes, restricts or modifies rights, remedies or liabilities that law prohibits excluding, including applicable Australian Consumer Law consumer guarantees.</w:t>
      </w:r>
    </w:p>
    <w:p>
      <w:pPr>
        <w:pStyle w:val="Heading2"/>
      </w:pPr>
      <w:r>
        <w:t>8.2 General cap — proposed, subject to legal/insurance review</w:t>
      </w:r>
    </w:p>
    <w:p>
      <w:r>
        <w:t>For claims to which a cap may lawfully apply, each party’s aggregate liability arising under the Contract in any rolling 12-month period is limited to fees paid or payable in the 12 months before the event giving rise to the claim. Proposed higher separate cap for Provider-caused privacy/security/confidentiality breaches: [2–3 × annual fees OR insurer-backed amount — DECIDE]. This structure is not yet an agreed term.</w:t>
      </w:r>
    </w:p>
    <w:p>
      <w:pPr>
        <w:pStyle w:val="Heading2"/>
      </w:pPr>
      <w:r>
        <w:t>8.3 Exceptions</w:t>
      </w:r>
    </w:p>
    <w:p>
      <w:r>
        <w:t>Liability for fraud, wilful misconduct, payment obligations, misuse of intellectual property, and any liability that cannot lawfully be limited is not subject to an exclusion or cap to the extent prohibited. Any indemnity must be narrowly limited to third-party claims directly caused by the indemnifying party’s breach, wrongful conduct or unlawful content, subject to procedural safeguards and proportionate allocation of responsibility.</w:t>
      </w:r>
    </w:p>
    <w:p>
      <w:pPr>
        <w:pStyle w:val="Heading2"/>
      </w:pPr>
      <w:r>
        <w:t>8.4 Consequential loss</w:t>
      </w:r>
    </w:p>
    <w:p>
      <w:r>
        <w:t>Neither party is liable for indirect or consequential loss to the extent permitted by law, but this provision does not automatically exclude reasonably foreseeable data restoration expenses, employment record re-creation costs, security response costs or amounts otherwise recoverable under non-excludable law. Final coverage should be negotiated with insurer and counsel.</w:t>
      </w:r>
    </w:p>
    <w:p>
      <w:pPr>
        <w:pStyle w:val="Heading2"/>
      </w:pPr>
      <w:r>
        <w:t>8.5 Disputes</w:t>
      </w:r>
    </w:p>
    <w:p>
      <w:r>
        <w:t>Before commencing ordinary proceedings, the parties will attempt good-faith resolution through nominated representatives for 20 business days and may agree to mediation in Victoria. Either may seek urgent injunctive relief or exercise non-excludable statutory rights without delay. Victorian law governs, subject to mandatory laws elsewhere.</w:t>
      </w:r>
    </w:p>
    <w:p>
      <w:pPr>
        <w:pStyle w:val="Heading1"/>
      </w:pPr>
      <w:r>
        <w:t>9. General</w:t>
      </w:r>
    </w:p>
    <w:p>
      <w:pPr>
        <w:pStyle w:val="Heading2"/>
      </w:pPr>
      <w:r>
        <w:t>9.1 Notices and changes</w:t>
      </w:r>
    </w:p>
    <w:p>
      <w:r>
        <w:t>Contract notices may be delivered to designated account/business email addresses with reasonable delivery records. Material adverse changes to standard terms require 30 days’ advance notice and an option to cancel without new charges before they take effect, unless urgently required by law/security. Changes cannot retroactively remove accrued remedies.</w:t>
      </w:r>
    </w:p>
    <w:p>
      <w:pPr>
        <w:pStyle w:val="Heading2"/>
      </w:pPr>
      <w:r>
        <w:t>9.2 Assignment, force majeure and severance</w:t>
      </w:r>
    </w:p>
    <w:p>
      <w:r>
        <w:t>Neither party may assign the Contract without consent not unreasonably withheld, except to a bona fide successor that assumes obligations and does not materially reduce protections. Neither is liable for delays outside reasonable control, but payment for service not supplied and mandatory law are unaffected. Invalid provisions are severed to the minimum lawful extent.</w:t>
      </w:r>
    </w:p>
    <w:p>
      <w:pPr>
        <w:pStyle w:val="Heading2"/>
      </w:pPr>
      <w:r>
        <w:t>9.3 Contact</w:t>
      </w:r>
    </w:p>
    <w:p>
      <w:r>
        <w:t>Legal notices: [LEGAL CONTACT EMAIL]; support: [SUPPORT EMAIL]; privacy: [PRIVACY EMAIL]. An Order may specify additional notice details.</w:t>
      </w:r>
    </w:p>
    <w:p>
      <w:r>
        <w:br w:type="page"/>
      </w:r>
    </w:p>
    <w:p>
      <w:pPr>
        <w:pStyle w:val="Heading1"/>
      </w:pPr>
      <w:r>
        <w:t>2. DATA PROCESSING AGREEMENT (DPA)</w:t>
      </w:r>
    </w:p>
    <w:p>
      <w:r>
        <w:t>This DPA forms part of the SaaS Subscription Agreement. It applies whenever Provider handles personal information on Customer’s behalf and separately recognises Provider’s own statutory responsibilities.</w:t>
      </w:r>
    </w:p>
    <w:p>
      <w:pPr>
        <w:pStyle w:val="Heading1"/>
      </w:pPr>
      <w:r>
        <w:t>1. Roles and scope</w:t>
      </w:r>
    </w:p>
    <w:p>
      <w:pPr>
        <w:pStyle w:val="Heading2"/>
      </w:pPr>
      <w:r>
        <w:t>1.1 Functional allocation</w:t>
      </w:r>
    </w:p>
    <w:p>
      <w:r>
        <w:t>Customer determines the employment-related purposes of Customer Data and issues lawful instructions concerning processing. Provider processes that data to deliver the Services. For security records, billing, account administration, legal compliance and its own service operations, Provider may independently determine limited purposes and must meet its own applicable privacy duties.</w:t>
      </w:r>
    </w:p>
    <w:p>
      <w:pPr>
        <w:pStyle w:val="Heading2"/>
      </w:pPr>
      <w:r>
        <w:t>1.2 Instructions</w:t>
      </w:r>
    </w:p>
    <w:p>
      <w:r>
        <w:t>Provider shall process Customer Data only to deliver contracted Services, on documented Customer instructions, or as law requires. Where an instruction appears unlawful, Provider will notify Customer unless prohibited and may pause the affected processing while the parties resolve the issue.</w:t>
      </w:r>
    </w:p>
    <w:p>
      <w:pPr>
        <w:pStyle w:val="Heading2"/>
      </w:pPr>
      <w:r>
        <w:t>1.3 Data categories</w:t>
      </w:r>
    </w:p>
    <w:p>
      <w:r>
        <w:t>Subject to actual enabled functions, relevant data may include worker names, contact details, identifiers, role/employment status, shift allocations, attendance, timesheets, credential expiry dates, uploaded documents, account usage and audit events. Fields involving health, biometrics, precise location, tax/bank/payroll information, background checks or minors are excluded from the approved launch scope until expressly documented and assessed.</w:t>
      </w:r>
    </w:p>
    <w:p>
      <w:pPr>
        <w:pStyle w:val="Heading1"/>
      </w:pPr>
      <w:r>
        <w:t>2. Staff, security and support</w:t>
      </w:r>
    </w:p>
    <w:p>
      <w:pPr>
        <w:pStyle w:val="Heading2"/>
      </w:pPr>
      <w:r>
        <w:t>2.1 Confidential access</w:t>
      </w:r>
    </w:p>
    <w:p>
      <w:r>
        <w:t>Provider limits access to personnel and suppliers with a legitimate need, confidentiality obligations and appropriate privileges. Access is logged where practicable, reviewed, and revoked when no longer required.</w:t>
      </w:r>
    </w:p>
    <w:p>
      <w:pPr>
        <w:pStyle w:val="Heading2"/>
      </w:pPr>
      <w:r>
        <w:t>2.2 Safeguards and audit</w:t>
      </w:r>
    </w:p>
    <w:p>
      <w:r>
        <w:t>Provider maintains the Security Schedule controls, testing and proportionate documentation. Upon reasonable written request, Provider provides security summaries and relevant assurance evidence subject to confidentiality and reasonable protection of other tenants. Enhanced audits may be negotiated for regulated customers.</w:t>
      </w:r>
    </w:p>
    <w:p>
      <w:pPr>
        <w:pStyle w:val="Heading2"/>
      </w:pPr>
      <w:r>
        <w:t>2.3 Individual rights and compliance assistance</w:t>
      </w:r>
    </w:p>
    <w:p>
      <w:r>
        <w:t>Provider will reasonably assist Customer in responding to access, correction, complaints, regulatory requests and applicable breach obligations, taking account of the information and capabilities available to Provider. Provider will also handle requests relating to its own processing directly, and route employer-record requests appropriately.</w:t>
      </w:r>
    </w:p>
    <w:p>
      <w:pPr>
        <w:pStyle w:val="Heading1"/>
      </w:pPr>
      <w:r>
        <w:t>3. Security incidents</w:t>
      </w:r>
    </w:p>
    <w:p>
      <w:pPr>
        <w:pStyle w:val="Heading2"/>
      </w:pPr>
      <w:r>
        <w:t>3.1 Notice</w:t>
      </w:r>
    </w:p>
    <w:p>
      <w:r>
        <w:t>Provider shall notify Customer without undue delay after becoming aware of a confirmed unauthorised access, disclosure, alteration, loss or other compromise affecting Customer Data; operational target within 24 hours of confirmation, with updates as material facts become known. Provider will also promptly alert Customer to credible suspected incidents that present a significant risk, even if investigation is incomplete.</w:t>
      </w:r>
    </w:p>
    <w:p>
      <w:pPr>
        <w:pStyle w:val="Heading2"/>
      </w:pPr>
      <w:r>
        <w:t>3.2 Response</w:t>
      </w:r>
    </w:p>
    <w:p>
      <w:r>
        <w:t>Provider will take appropriate containment and remediation steps; preserve relevant evidence; provide details reasonably available about affected data, timing, impacts and remedial actions; and coordinate notices. Neither party will unnecessarily delay legally required notification. The parties will designate leads for OAIC and worker communications as appropriate under the NDB scheme.</w:t>
      </w:r>
    </w:p>
    <w:p>
      <w:pPr>
        <w:pStyle w:val="Heading2"/>
      </w:pPr>
      <w:r>
        <w:t>3.3 Costs and responsibility</w:t>
      </w:r>
    </w:p>
    <w:p>
      <w:r>
        <w:t>Each party bears ordinary compliance costs, subject to any recoverable damages, agreed breach assistance costs and applicable liability provisions. No provision shifts responsibility for Provider-caused incidents to Customer merely because Customer is an employer.</w:t>
      </w:r>
    </w:p>
    <w:p>
      <w:pPr>
        <w:pStyle w:val="Heading1"/>
      </w:pPr>
      <w:r>
        <w:t>4. Subprocessors and residency</w:t>
      </w:r>
    </w:p>
    <w:p>
      <w:pPr>
        <w:pStyle w:val="Heading2"/>
      </w:pPr>
      <w:r>
        <w:t>4.1 Approved subprocessors</w:t>
      </w:r>
    </w:p>
    <w:p>
      <w:r>
        <w:t>Provider may use disclosed subprocessors necessary to operate the Services. The actual current names, purposes, data locations and categories will appear at [PUBLIC SUBPROCESSOR URL] or the attached register. Provider will impose written confidentiality, security and processing obligations appropriate to each subprocessor and remains responsible for their performance.</w:t>
      </w:r>
    </w:p>
    <w:p>
      <w:pPr>
        <w:pStyle w:val="Heading2"/>
      </w:pPr>
      <w:r>
        <w:t>4.2 New subprocessors</w:t>
      </w:r>
    </w:p>
    <w:p>
      <w:r>
        <w:t>Provider gives at least 30 days’ prior notice of material new subprocessors, except urgent security replacements, and a reasonable opportunity to object on documented privacy/security grounds. Parties will try to resolve objections; failing that, Customer may terminate the materially affected service with a pro-rata refund of unused prepaid fees.</w:t>
      </w:r>
    </w:p>
    <w:p>
      <w:pPr>
        <w:pStyle w:val="Heading2"/>
      </w:pPr>
      <w:r>
        <w:t>4.3 Australian hosting</w:t>
      </w:r>
    </w:p>
    <w:p>
      <w:r>
        <w:t>Primary production storage of Customer Data will be in Australia. This commitment does not represent an absolute prohibition on overseas access, transmission, telemetry, vendor support or disaster recovery unless confirmed in the register. Provider must disclose relevant cross-border flows and implement required safeguards. Any transfer of primary production storage outside Australia requires Customer’s prior written agreement.</w:t>
      </w:r>
    </w:p>
    <w:p>
      <w:pPr>
        <w:pStyle w:val="Heading1"/>
      </w:pPr>
      <w:r>
        <w:t>5. Retention, exit and disclosure</w:t>
      </w:r>
    </w:p>
    <w:p>
      <w:pPr>
        <w:pStyle w:val="Heading2"/>
      </w:pPr>
      <w:r>
        <w:t>5.1 Retention instructions</w:t>
      </w:r>
    </w:p>
    <w:p>
      <w:r>
        <w:t>Provider retains Customer Data during the subscription and for the transition periods in the Data Lifecycle Schedule, unless required by Australian law or a lawful hold. Customer remains responsible for selecting retention settings consistent with employment obligations; Provider must not silently override agreed retention rules.</w:t>
      </w:r>
    </w:p>
    <w:p>
      <w:pPr>
        <w:pStyle w:val="Heading2"/>
      </w:pPr>
      <w:r>
        <w:t>5.2 Exit</w:t>
      </w:r>
    </w:p>
    <w:p>
      <w:r>
        <w:t>Customer shall have usable export functionality for relevant employee records and relevant audit metadata in commonly readable formats. Provider will offer reasonable cooperation where systems are unavailable. Deletion takes place only after the defined exit period and subject to legal obligations and backup cycles.</w:t>
      </w:r>
    </w:p>
    <w:p>
      <w:pPr>
        <w:pStyle w:val="Heading2"/>
      </w:pPr>
      <w:r>
        <w:t>5.3 Government requests</w:t>
      </w:r>
    </w:p>
    <w:p>
      <w:r>
        <w:t>Provider will examine compulsory disclosure requests for validity, disclose only what is legally required and, where legally permitted, notify Customer before disclosure.</w:t>
      </w:r>
    </w:p>
    <w:p>
      <w:pPr>
        <w:pStyle w:val="Heading2"/>
      </w:pPr>
      <w:r>
        <w:t>5.4 Return/deletion certification</w:t>
      </w:r>
    </w:p>
    <w:p>
      <w:r>
        <w:t>On a reasonable request after scheduled deletion, Provider will confirm completion or explain any retained categories, reasons and expected removal timelines. Provider must protect retained information and limit further processing.</w:t>
      </w:r>
    </w:p>
    <w:p>
      <w:r>
        <w:br w:type="page"/>
      </w:r>
    </w:p>
    <w:p>
      <w:pPr>
        <w:pStyle w:val="Heading1"/>
      </w:pPr>
      <w:r>
        <w:t>3. PUBLIC PRIVACY POLICY — DRAFT</w:t>
      </w:r>
    </w:p>
    <w:p>
      <w:r>
        <w:t>Effective [DATE]  |  Last updated [DATE]  |  Operator: [FULL LEGAL ENTITY NAME], ABN [ABN], [ADDRESS]. This public-facing policy must be updated to match actual data flows before publication.</w:t>
      </w:r>
    </w:p>
    <w:p>
      <w:pPr>
        <w:pStyle w:val="Heading1"/>
      </w:pPr>
      <w:r>
        <w:t>1. Who we are</w:t>
      </w:r>
    </w:p>
    <w:p>
      <w:pPr>
        <w:pStyle w:val="Heading2"/>
      </w:pPr>
      <w:r>
        <w:t>About CROPwms</w:t>
      </w:r>
    </w:p>
    <w:p>
      <w:r>
        <w:t>CROPwms provides workforce management software for organisations and a mobile application for their workers. This policy explains how we handle personal information both for our own business operations and when providing software to employer customers. Employers may also have their own privacy notices and legal obligations.</w:t>
      </w:r>
    </w:p>
    <w:p>
      <w:pPr>
        <w:pStyle w:val="Heading1"/>
      </w:pPr>
      <w:r>
        <w:t>2. What information we collect</w:t>
      </w:r>
    </w:p>
    <w:p>
      <w:pPr>
        <w:pStyle w:val="Heading2"/>
      </w:pPr>
      <w:r>
        <w:t>From businesses and administrators</w:t>
      </w:r>
    </w:p>
    <w:p>
      <w:r>
        <w:t>We may collect name, work contact information, organisation details, account preferences, subscription records, communications, payment status and service support information. Card details may be handled by [PAYMENT PROCESSOR — CONFIRM] rather than stored by CROPwms.</w:t>
      </w:r>
    </w:p>
    <w:p>
      <w:pPr>
        <w:pStyle w:val="Heading2"/>
      </w:pPr>
      <w:r>
        <w:t>From and about workers</w:t>
      </w:r>
    </w:p>
    <w:p>
      <w:r>
        <w:t>Depending on features enabled by their employer, we may handle work contact details, employment role, workplace, roster and shift details, availability, attendance and timesheet information, licences or credentials, documents uploaded through the app, messages and audit history. We may collect device identifiers, app version, authentication, diagnostic, security and push notification tokens required to operate and protect the mobile app. We will not claim to collect GPS location, biometrics, health data, banking or payroll data unless and until these functions are implemented and separately disclosed.</w:t>
      </w:r>
    </w:p>
    <w:p>
      <w:pPr>
        <w:pStyle w:val="Heading2"/>
      </w:pPr>
      <w:r>
        <w:t>Sources</w:t>
      </w:r>
    </w:p>
    <w:p>
      <w:r>
        <w:t>We obtain information directly from account users, employers who create and maintain workforce records, authorised integrations and service providers. Where legally required, collection notices will identify when information is collected from someone other than the individual.</w:t>
      </w:r>
    </w:p>
    <w:p>
      <w:pPr>
        <w:pStyle w:val="Heading1"/>
      </w:pPr>
      <w:r>
        <w:t>3. Why we use information</w:t>
      </w:r>
    </w:p>
    <w:p>
      <w:pPr>
        <w:pStyle w:val="Heading2"/>
      </w:pPr>
      <w:r>
        <w:t>Purposes</w:t>
      </w:r>
    </w:p>
    <w:p>
      <w:r>
        <w:t>We use personal information to operate and secure accounts, display employer-authorised shifts and workplace records, provide notifications, maintain logs, answer support requests, administer business subscriptions, prevent misuse, meet legal obligations and improve reliability using appropriately limited technical diagnostics.</w:t>
      </w:r>
    </w:p>
    <w:p>
      <w:pPr>
        <w:pStyle w:val="Heading2"/>
      </w:pPr>
      <w:r>
        <w:t>Marketing</w:t>
      </w:r>
    </w:p>
    <w:p>
      <w:r>
        <w:t>We do not use employer-provided workforce records to market unrelated products to workers. Where we send commercial electronic messages, we will follow applicable consent and unsubscribe requirements.</w:t>
      </w:r>
    </w:p>
    <w:p>
      <w:pPr>
        <w:pStyle w:val="Heading2"/>
      </w:pPr>
      <w:r>
        <w:t>Automated decisions</w:t>
      </w:r>
    </w:p>
    <w:p>
      <w:r>
        <w:t>[LAUNCH DECLARATION REQUIRED: identify whether any computer program makes or materially informs decisions significantly affecting workers, the types of decisions and personal information involved, as required from 10 December 2026 where applicable. Do not publish a categorical denial without testing scheduling and scoring features.]</w:t>
      </w:r>
    </w:p>
    <w:p>
      <w:pPr>
        <w:pStyle w:val="Heading1"/>
      </w:pPr>
      <w:r>
        <w:t>4. Sharing, overseas access and storage</w:t>
      </w:r>
    </w:p>
    <w:p>
      <w:pPr>
        <w:pStyle w:val="Heading2"/>
      </w:pPr>
      <w:r>
        <w:t>Disclosure</w:t>
      </w:r>
    </w:p>
    <w:p>
      <w:r>
        <w:t>Information may be available to the relevant employer and authorised users according to roles, our employees with a legitimate support/security need, contracted hosting and technical service providers, professional advisers and authorities where lawfully required. We do not sell workers’ personal information.</w:t>
      </w:r>
    </w:p>
    <w:p>
      <w:pPr>
        <w:pStyle w:val="Heading2"/>
      </w:pPr>
      <w:r>
        <w:t>Australian storage and overseas disclosure</w:t>
      </w:r>
    </w:p>
    <w:p>
      <w:r>
        <w:t>We intend to store primary production Customer Data in Australia. Some technical providers or support activities may involve overseas disclosure or access. Before launch we will identify relevant countries and provider categories here and disclose any applicable overseas recipients in accordance with Australian privacy law. [INSERT CONFIRMED COUNTRIES/PROVIDERS.]</w:t>
      </w:r>
    </w:p>
    <w:p>
      <w:pPr>
        <w:pStyle w:val="Heading1"/>
      </w:pPr>
      <w:r>
        <w:t>5. Security and retention</w:t>
      </w:r>
    </w:p>
    <w:p>
      <w:pPr>
        <w:pStyle w:val="Heading2"/>
      </w:pPr>
      <w:r>
        <w:t>Protection</w:t>
      </w:r>
    </w:p>
    <w:p>
      <w:r>
        <w:t>We apply administrative and technical safeguards designed to reduce risks of unauthorised access, misuse, alteration and loss. No online system can promise absolute security. We review controls according to the sensitivity of information we hold.</w:t>
      </w:r>
    </w:p>
    <w:p>
      <w:pPr>
        <w:pStyle w:val="Heading2"/>
      </w:pPr>
      <w:r>
        <w:t>Retention</w:t>
      </w:r>
    </w:p>
    <w:p>
      <w:r>
        <w:t>We retain information only while needed for permitted business, operational, customer-instructed or legal purposes. Employment records may need to be kept by employers for substantial statutory periods. [INSERT CONFIRMED ACTIVE ACCOUNT, CANCELLED ACCOUNT, LOG AND BACKUP RETENTION PERIODS.] We use deletion or de-identification when lawful and appropriate.</w:t>
      </w:r>
    </w:p>
    <w:p>
      <w:pPr>
        <w:pStyle w:val="Heading1"/>
      </w:pPr>
      <w:r>
        <w:t>6. Your privacy choices and requests</w:t>
      </w:r>
    </w:p>
    <w:p>
      <w:pPr>
        <w:pStyle w:val="Heading2"/>
      </w:pPr>
      <w:r>
        <w:t>Access and correction</w:t>
      </w:r>
    </w:p>
    <w:p>
      <w:r>
        <w:t>You may request access to or correction of personal information we hold about you using [PRIVACY EMAIL]. For employer-controlled rosters, employment details or timesheets, we may refer the request to your employer while meeting any direct duties we have. We may need to verify identity and will explain lawful grounds for refusing a request.</w:t>
      </w:r>
    </w:p>
    <w:p>
      <w:pPr>
        <w:pStyle w:val="Heading2"/>
      </w:pPr>
      <w:r>
        <w:t>Notifications and permissions</w:t>
      </w:r>
    </w:p>
    <w:p>
      <w:r>
        <w:t>Mobile operating system settings may allow you to control optional push notifications and permissions. Some operational messages are necessary to provide workplace information. [IDENTIFY PRECISE OPTIONAL PERMISSIONS AFTER PRODUCT TESTING.]</w:t>
      </w:r>
    </w:p>
    <w:p>
      <w:pPr>
        <w:pStyle w:val="Heading2"/>
      </w:pPr>
      <w:r>
        <w:t>Complaints</w:t>
      </w:r>
    </w:p>
    <w:p>
      <w:r>
        <w:t>Send privacy questions or complaints to [PRIVACY EMAIL / POSTAL ADDRESS]. We will acknowledge and assess complaints within a reasonable time, ordinarily aiming to respond within 30 days. If dissatisfied, you may be able to complain to the Office of the Australian Information Commissioner (oaic.gov.au).</w:t>
      </w:r>
    </w:p>
    <w:p>
      <w:pPr>
        <w:pStyle w:val="Heading1"/>
      </w:pPr>
      <w:r>
        <w:t>7. Changes and children</w:t>
      </w:r>
    </w:p>
    <w:p>
      <w:pPr>
        <w:pStyle w:val="Heading2"/>
      </w:pPr>
      <w:r>
        <w:t>Changes</w:t>
      </w:r>
    </w:p>
    <w:p>
      <w:r>
        <w:t>We will publish a dated current version and give appropriate additional notice if a change materially affects handling of personal information.</w:t>
      </w:r>
    </w:p>
    <w:p>
      <w:pPr>
        <w:pStyle w:val="Heading2"/>
      </w:pPr>
      <w:r>
        <w:t>Young workers</w:t>
      </w:r>
    </w:p>
    <w:p>
      <w:r>
        <w:t>CROPwms may be used by employers of workers under 18. Before enabling such accounts, we will assess age-appropriate notices, minimum collection and any safeguarding requirements. [MINOR USER CONTROLS TO CONFIRM.]</w:t>
      </w:r>
    </w:p>
    <w:p>
      <w:r>
        <w:br w:type="page"/>
      </w:r>
    </w:p>
    <w:p>
      <w:pPr>
        <w:pStyle w:val="Heading1"/>
      </w:pPr>
      <w:r>
        <w:t>4. MOBILE WORKER PRIVACY NOTICE — DRAFT</w:t>
      </w:r>
    </w:p>
    <w:p>
      <w:r>
        <w:t>Display this short notice during first app sign-in, with a clear link to the full Privacy Policy and to the employer’s own privacy notice. It is an information notice, not a blanket privacy consent.</w:t>
      </w:r>
    </w:p>
    <w:p>
      <w:pPr>
        <w:pStyle w:val="Heading2"/>
      </w:pPr>
      <w:r>
        <w:t>Who operates this app?</w:t>
      </w:r>
    </w:p>
    <w:p>
      <w:r>
        <w:t>CROPwms is provided by [LEGAL ENTITY]. Your employer, [EMPLOYER NAME], uses it to manage certain work information. Your employer decides what employment records to enter and which authorised people at work can see them.</w:t>
      </w:r>
    </w:p>
    <w:p>
      <w:pPr>
        <w:pStyle w:val="Heading2"/>
      </w:pPr>
      <w:r>
        <w:t>What information might appear?</w:t>
      </w:r>
    </w:p>
    <w:p>
      <w:r>
        <w:t>Your name, work contact details, workplace or role, shifts and rosters, availability, attendance or timesheets, and credentials may appear if your employer has enabled those features. The app also uses limited login, security, diagnostic and notification information to work properly.</w:t>
      </w:r>
    </w:p>
    <w:p>
      <w:pPr>
        <w:pStyle w:val="Heading2"/>
      </w:pPr>
      <w:r>
        <w:t>Who sees it?</w:t>
      </w:r>
    </w:p>
    <w:p>
      <w:r>
        <w:t>Your employer’s authorised managers and other approved people can access information according to their permissions. CROPwms personnel and service providers may access limited information when needed to operate, secure or support the service. Other workers should only see information necessary for their work role.</w:t>
      </w:r>
    </w:p>
    <w:p>
      <w:pPr>
        <w:pStyle w:val="Heading2"/>
      </w:pPr>
      <w:r>
        <w:t>What does the app not mean?</w:t>
      </w:r>
    </w:p>
    <w:p>
      <w:r>
        <w:t>Installing the app does not itself mean that you consent to location tracking, camera monitoring, biometric checks, new employment conditions or marketing. If such features are introduced, you should receive an explanation and any legally required notice or choice before they are used.</w:t>
      </w:r>
    </w:p>
    <w:p>
      <w:pPr>
        <w:pStyle w:val="Heading2"/>
      </w:pPr>
      <w:r>
        <w:t>Your choices and help</w:t>
      </w:r>
    </w:p>
    <w:p>
      <w:r>
        <w:t>For an incorrect shift or employment record, contact your employer. For app account, privacy or security issues, contact [SUPPORT / PRIVACY CONTACT]. You can read CROPwms’s full Privacy Policy at [URL] and your employer’s notice at [EMPLOYER-SUPPLIED LINK]. You may have legal rights to access or correct personal information held about you.</w:t>
      </w:r>
    </w:p>
    <w:p>
      <w:pPr>
        <w:pStyle w:val="Heading2"/>
      </w:pPr>
      <w:r>
        <w:t>Out-of-hours notifications</w:t>
      </w:r>
    </w:p>
    <w:p>
      <w:r>
        <w:t>The app may send shift-related notices. Receiving a notification does not, by itself, alter your employment rights or require a response outside working hours. Any legal right to disconnect continues to apply.</w:t>
      </w:r>
    </w:p>
    <w:p>
      <w:pPr>
        <w:pStyle w:val="Heading2"/>
      </w:pPr>
      <w:r>
        <w:t>Display controls</w:t>
      </w:r>
    </w:p>
    <w:p>
      <w:r>
        <w:t>[CONFIRM APP SETTINGS: optional push permissions, supported devices, account access removal, links to notices, and how a worker obtains records after leaving employment.]</w:t>
      </w:r>
    </w:p>
    <w:p>
      <w:r>
        <w:br w:type="page"/>
      </w:r>
    </w:p>
    <w:p>
      <w:pPr>
        <w:pStyle w:val="Heading1"/>
      </w:pPr>
      <w:r>
        <w:t>5. ACCEPTABLE USE POLICY — DRAFT</w:t>
      </w:r>
    </w:p>
    <w:p>
      <w:r>
        <w:t>Applies to all administrators and mobile worker users with access to CROPwms. Customer must make this policy accessible to its Authorised Users.</w:t>
      </w:r>
    </w:p>
    <w:p>
      <w:pPr>
        <w:pStyle w:val="ListBullet"/>
      </w:pPr>
      <w:r>
        <w:t>Use CROPwms only for legitimate business or employment-related purposes and within assigned access permissions.</w:t>
      </w:r>
    </w:p>
    <w:p>
      <w:pPr>
        <w:pStyle w:val="ListBullet"/>
      </w:pPr>
      <w:r>
        <w:t>Do not access another person’s account or records without authorisation, share passwords or bypass identity and security controls.</w:t>
      </w:r>
    </w:p>
    <w:p>
      <w:pPr>
        <w:pStyle w:val="ListBullet"/>
      </w:pPr>
      <w:r>
        <w:t>Do not upload malicious code; attack, scrape, overload or interfere with the Services; or attempt unauthorised reverse engineering.</w:t>
      </w:r>
    </w:p>
    <w:p>
      <w:pPr>
        <w:pStyle w:val="ListBullet"/>
      </w:pPr>
      <w:r>
        <w:t>Do not use the system to harass, discriminate against, unlawfully surveil or retaliate against workers, or to conceal or falsify required employment records.</w:t>
      </w:r>
    </w:p>
    <w:p>
      <w:pPr>
        <w:pStyle w:val="ListBullet"/>
      </w:pPr>
      <w:r>
        <w:t>Do not upload unlawful content, unnecessary sensitive information or information that the organisation has no lawful reason to collect.</w:t>
      </w:r>
    </w:p>
    <w:p>
      <w:pPr>
        <w:pStyle w:val="ListBullet"/>
      </w:pPr>
      <w:r>
        <w:t>Report suspected security incidents, wrongly assigned records or accidental access to another organisation’s data promptly to [SECURITY CONTACT].</w:t>
      </w:r>
    </w:p>
    <w:p>
      <w:pPr>
        <w:pStyle w:val="ListBullet"/>
      </w:pPr>
      <w:r>
        <w:t>CROPwms may proportionately restrict problematic activity where necessary for safety or lawfulness, with notice and opportunity to remedy where practicable.</w:t>
      </w:r>
    </w:p>
    <w:p>
      <w:r>
        <w:br w:type="page"/>
      </w:r>
    </w:p>
    <w:p>
      <w:pPr>
        <w:pStyle w:val="Heading1"/>
      </w:pPr>
      <w:r>
        <w:t>6. SERVICE LEVEL, SECURITY AND DATA LIFECYCLE SCHEDULES</w:t>
      </w:r>
    </w:p>
    <w:p>
      <w:pPr>
        <w:pStyle w:val="Heading2"/>
      </w:pPr>
      <w:r>
        <w:t>Schedule A — Service Levels (proposal, not operative until capabilities verified)</w:t>
      </w:r>
    </w:p>
    <w:p>
      <w:pPr>
        <w:pStyle w:val="ListBullet"/>
      </w:pPr>
      <w:r>
        <w:t>Availability: [SELECT VALIDATED UPTIME COMMITMENT, e.g. 99.9% per calendar month]. Do not promise this until monitoring, exclusions and capacity support it.</w:t>
      </w:r>
    </w:p>
    <w:p>
      <w:pPr>
        <w:pStyle w:val="ListBullet"/>
      </w:pPr>
      <w:r>
        <w:t>Maintenance: planned maintenance announced at least [X] hours in advance except urgent security changes; minimise disruption to scheduled rosters.</w:t>
      </w:r>
    </w:p>
    <w:p>
      <w:pPr>
        <w:pStyle w:val="ListBullet"/>
      </w:pPr>
      <w:r>
        <w:t>Support: [CHANNELS, TIME ZONE, BUSINESS HOURS, SEVERITY DEFINITIONS, INITIAL RESPONSE TARGETS]. Distinguish response time from resolution time.</w:t>
      </w:r>
    </w:p>
    <w:p>
      <w:pPr>
        <w:pStyle w:val="ListBullet"/>
      </w:pPr>
      <w:r>
        <w:t>Credits: where a committed availability target is missed and valid exclusions do not apply, customer may request a proportionate service credit [FORMULA / CLAIM WINDOW]. Credits must not extinguish statutory remedies.</w:t>
      </w:r>
    </w:p>
    <w:p>
      <w:pPr>
        <w:pStyle w:val="ListBullet"/>
      </w:pPr>
      <w:r>
        <w:t>Exclusions: documented scheduled maintenance, customer-side networks/devices, customer-caused misuse and broadly affecting internet failures beyond Provider’s reasonable control, but not Provider’s foreseeable capacity or supplier failures automatically.</w:t>
      </w:r>
    </w:p>
    <w:p>
      <w:pPr>
        <w:pStyle w:val="Heading2"/>
      </w:pPr>
      <w:r>
        <w:t>Schedule B — Security Commitments (verify before publishing)</w:t>
      </w:r>
    </w:p>
    <w:p>
      <w:pPr>
        <w:pStyle w:val="ListBullet"/>
      </w:pPr>
      <w:r>
        <w:t>Hosting: primary production data storage in Australian regions, with verified backup and disaster-recovery locations.</w:t>
      </w:r>
    </w:p>
    <w:p>
      <w:pPr>
        <w:pStyle w:val="ListBullet"/>
      </w:pPr>
      <w:r>
        <w:t>Authentication: strong password handling, administrator MFA [REQUIRE/CONFIRM], secure session handling and role-based access.</w:t>
      </w:r>
    </w:p>
    <w:p>
      <w:pPr>
        <w:pStyle w:val="ListBullet"/>
      </w:pPr>
      <w:r>
        <w:t>Infrastructure: TLS in transit, encryption at rest, documented key management, secret rotation and tenant separation.</w:t>
      </w:r>
    </w:p>
    <w:p>
      <w:pPr>
        <w:pStyle w:val="ListBullet"/>
      </w:pPr>
      <w:r>
        <w:t>Operational controls: least privilege, access logging, software patching, vulnerability management, security incident response and periodic restoration tests.</w:t>
      </w:r>
    </w:p>
    <w:p>
      <w:pPr>
        <w:pStyle w:val="ListBullet"/>
      </w:pPr>
      <w:r>
        <w:t>Supplier controls: signed processing/security terms, inventory, risk review, overseas access mapping, and notices for material changes.</w:t>
      </w:r>
    </w:p>
    <w:p>
      <w:pPr>
        <w:pStyle w:val="ListBullet"/>
      </w:pPr>
      <w:r>
        <w:t>Assurance: [TEST SCHEDULE], [RELEVANT CERTIFICATIONS IF ACTUALLY OBTAINED], contact for vulnerability reports [EMAIL].</w:t>
      </w:r>
    </w:p>
    <w:p>
      <w:pPr>
        <w:pStyle w:val="Heading2"/>
      </w:pPr>
      <w:r>
        <w:t>Schedule C — Data Lifecycle and Exit (proposed defaults to approve)</w:t>
      </w:r>
    </w:p>
    <w:p>
      <w:pPr>
        <w:pStyle w:val="ListBullet"/>
      </w:pPr>
      <w:r>
        <w:t>During service: customer can access/export its active records and relevant modification history, in CSV and/or PDF where technically supported.</w:t>
      </w:r>
    </w:p>
    <w:p>
      <w:pPr>
        <w:pStyle w:val="ListBullet"/>
      </w:pPr>
      <w:r>
        <w:t>Cancellation: 30 days’ read-only export access after service expiry, subject to secure identity verification and lawful restrictions; consider a longer period for customers with critical employment records.</w:t>
      </w:r>
    </w:p>
    <w:p>
      <w:pPr>
        <w:pStyle w:val="ListBullet"/>
      </w:pPr>
      <w:r>
        <w:t>After export window: live Customer Data scheduled for deletion within 30 additional days unless legally required, disputed, or subject to documented preservation instructions.</w:t>
      </w:r>
    </w:p>
    <w:p>
      <w:pPr>
        <w:pStyle w:val="ListBullet"/>
      </w:pPr>
      <w:r>
        <w:t>Backups: deletion through ordinary backup rotation within [60–90] additional days; restoration must not resurrect deleted records into active service without appropriate re-deletion controls.</w:t>
      </w:r>
    </w:p>
    <w:p>
      <w:pPr>
        <w:pStyle w:val="ListBullet"/>
      </w:pPr>
      <w:r>
        <w:t>Provider account, billing and tax records: retained for their applicable legal or operational purposes, separately documented from employment data.</w:t>
      </w:r>
    </w:p>
    <w:p>
      <w:pPr>
        <w:pStyle w:val="ListBullet"/>
      </w:pPr>
      <w:r>
        <w:t>Critical safeguard: immediately on cancellation, show explicit prompts to export records subject to Fair Work retention periods; avoid claiming the provider itself must always retain all records for seven years.</w:t>
      </w:r>
    </w:p>
    <w:p>
      <w:pPr>
        <w:pStyle w:val="ListBullet"/>
      </w:pPr>
      <w:r>
        <w:t>Former workers: Customer manages continued access and record provision; the app must explain how workers contact their employer and request personal information from Provider where relevant.</w:t>
      </w:r>
    </w:p>
    <w:p>
      <w:pPr>
        <w:pStyle w:val="Heading2"/>
      </w:pPr>
      <w:r>
        <w:t>Schedule D — Subprocessor register template</w:t>
      </w:r>
    </w:p>
    <w:tbl>
      <w:tblPr>
        <w:tblStyle w:val="LightShading-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t>Provider</w:t>
            </w:r>
          </w:p>
        </w:tc>
        <w:tc>
          <w:tcPr>
            <w:tcW w:type="dxa" w:w="1930"/>
          </w:tcPr>
          <w:p>
            <w:r>
              <w:t>Purpose</w:t>
            </w:r>
          </w:p>
        </w:tc>
        <w:tc>
          <w:tcPr>
            <w:tcW w:type="dxa" w:w="1930"/>
          </w:tcPr>
          <w:p>
            <w:r>
              <w:t>Data</w:t>
            </w:r>
          </w:p>
        </w:tc>
        <w:tc>
          <w:tcPr>
            <w:tcW w:type="dxa" w:w="1930"/>
          </w:tcPr>
          <w:p>
            <w:r>
              <w:t>Country/region</w:t>
            </w:r>
          </w:p>
        </w:tc>
        <w:tc>
          <w:tcPr>
            <w:tcW w:type="dxa" w:w="1930"/>
          </w:tcPr>
          <w:p>
            <w:r>
              <w:t>Overseas access?</w:t>
            </w:r>
          </w:p>
        </w:tc>
      </w:tr>
      <w:tr>
        <w:tc>
          <w:tcPr>
            <w:tcW w:type="dxa" w:w="1930"/>
          </w:tcPr>
          <w:p>
            <w:r>
              <w:t>[Confirm]</w:t>
            </w:r>
          </w:p>
        </w:tc>
        <w:tc>
          <w:tcPr>
            <w:tcW w:type="dxa" w:w="1930"/>
          </w:tcPr>
          <w:p>
            <w:r>
              <w:t>[Confirm]</w:t>
            </w:r>
          </w:p>
        </w:tc>
        <w:tc>
          <w:tcPr>
            <w:tcW w:type="dxa" w:w="1930"/>
          </w:tcPr>
          <w:p>
            <w:r>
              <w:t>[Confirm]</w:t>
            </w:r>
          </w:p>
        </w:tc>
        <w:tc>
          <w:tcPr>
            <w:tcW w:type="dxa" w:w="1930"/>
          </w:tcPr>
          <w:p>
            <w:r>
              <w:t>[Confirm]</w:t>
            </w:r>
          </w:p>
        </w:tc>
        <w:tc>
          <w:tcPr>
            <w:tcW w:type="dxa" w:w="1930"/>
          </w:tcPr>
          <w:p>
            <w:r>
              <w:t>[Confirm]</w:t>
            </w:r>
          </w:p>
        </w:tc>
      </w:tr>
      <w:tr>
        <w:tc>
          <w:tcPr>
            <w:tcW w:type="dxa" w:w="1930"/>
          </w:tcPr>
          <w:p>
            <w:r>
              <w:t>[Confirm]</w:t>
            </w:r>
          </w:p>
        </w:tc>
        <w:tc>
          <w:tcPr>
            <w:tcW w:type="dxa" w:w="1930"/>
          </w:tcPr>
          <w:p>
            <w:r>
              <w:t>[Confirm]</w:t>
            </w:r>
          </w:p>
        </w:tc>
        <w:tc>
          <w:tcPr>
            <w:tcW w:type="dxa" w:w="1930"/>
          </w:tcPr>
          <w:p>
            <w:r>
              <w:t>[Confirm]</w:t>
            </w:r>
          </w:p>
        </w:tc>
        <w:tc>
          <w:tcPr>
            <w:tcW w:type="dxa" w:w="1930"/>
          </w:tcPr>
          <w:p>
            <w:r>
              <w:t>[Confirm]</w:t>
            </w:r>
          </w:p>
        </w:tc>
        <w:tc>
          <w:tcPr>
            <w:tcW w:type="dxa" w:w="1930"/>
          </w:tcPr>
          <w:p>
            <w:r>
              <w:t>[Confirm]</w:t>
            </w:r>
          </w:p>
        </w:tc>
      </w:tr>
      <w:tr>
        <w:tc>
          <w:tcPr>
            <w:tcW w:type="dxa" w:w="1930"/>
          </w:tcPr>
          <w:p>
            <w:r>
              <w:t>[Confirm]</w:t>
            </w:r>
          </w:p>
        </w:tc>
        <w:tc>
          <w:tcPr>
            <w:tcW w:type="dxa" w:w="1930"/>
          </w:tcPr>
          <w:p>
            <w:r>
              <w:t>[Confirm]</w:t>
            </w:r>
          </w:p>
        </w:tc>
        <w:tc>
          <w:tcPr>
            <w:tcW w:type="dxa" w:w="1930"/>
          </w:tcPr>
          <w:p>
            <w:r>
              <w:t>[Confirm]</w:t>
            </w:r>
          </w:p>
        </w:tc>
        <w:tc>
          <w:tcPr>
            <w:tcW w:type="dxa" w:w="1930"/>
          </w:tcPr>
          <w:p>
            <w:r>
              <w:t>[Confirm]</w:t>
            </w:r>
          </w:p>
        </w:tc>
        <w:tc>
          <w:tcPr>
            <w:tcW w:type="dxa" w:w="1930"/>
          </w:tcPr>
          <w:p>
            <w:r>
              <w:t>[Confirm]</w:t>
            </w:r>
          </w:p>
        </w:tc>
      </w:tr>
    </w:tbl>
    <w:p>
      <w:r>
        <w:br w:type="page"/>
      </w:r>
    </w:p>
    <w:p>
      <w:pPr>
        <w:pStyle w:val="Heading1"/>
      </w:pPr>
      <w:r>
        <w:t>7. LAUNCH DECISIONS AND IMPLEMENTATION REQUIREMENTS</w:t>
      </w:r>
    </w:p>
    <w:p>
      <w:pPr>
        <w:pStyle w:val="Heading2"/>
      </w:pPr>
      <w:r>
        <w:t>Blocking before any live worker personal information</w:t>
      </w:r>
    </w:p>
    <w:p>
      <w:pPr>
        <w:pStyle w:val="ListBullet"/>
      </w:pPr>
      <w:r>
        <w:t>Insert the existing Australian company’s exact legal name, ACN/ABN, business address, legal/privacy/security contacts and support channels.</w:t>
      </w:r>
    </w:p>
    <w:p>
      <w:pPr>
        <w:pStyle w:val="ListBullet"/>
      </w:pPr>
      <w:r>
        <w:t>Produce a full data inventory and privacy impact assessment: exact fields, source, purpose, employer permissions, retention, sensitive-data flags and cross-border flows.</w:t>
      </w:r>
    </w:p>
    <w:p>
      <w:pPr>
        <w:pStyle w:val="ListBullet"/>
      </w:pPr>
      <w:r>
        <w:t>Decide whether the product includes shift rostering alone or attendance, messaging, credentials, location, health, payroll, biometrics, AI ranking or automated decisions; enable only reviewed modules.</w:t>
      </w:r>
    </w:p>
    <w:p>
      <w:pPr>
        <w:pStyle w:val="ListBullet"/>
      </w:pPr>
      <w:r>
        <w:t>Confirm actual Australian cloud regions, backup regions, push messaging services, identity vendors, payment provider, analytics/crash tools, support tools and every subprocessor with country/access exposure.</w:t>
      </w:r>
    </w:p>
    <w:p>
      <w:pPr>
        <w:pStyle w:val="ListBullet"/>
      </w:pPr>
      <w:r>
        <w:t>Complete app-specific permission and collection screens; provide APP 5 collection notice where required and separate employer notices, not just terms acceptance.</w:t>
      </w:r>
    </w:p>
    <w:p>
      <w:pPr>
        <w:pStyle w:val="ListBullet"/>
      </w:pPr>
      <w:r>
        <w:t>Implement secure access control, tenancy isolation, audit trails, export, retention and incident response before handling worker records.</w:t>
      </w:r>
    </w:p>
    <w:p>
      <w:pPr>
        <w:pStyle w:val="ListBullet"/>
      </w:pPr>
      <w:r>
        <w:t>Confirm pricing, seat definitions, GST, trials, billing frequency, renewal notices, cancellation timing and refund flow before taking paid subscriptions.</w:t>
      </w:r>
    </w:p>
    <w:p>
      <w:pPr>
        <w:pStyle w:val="ListBullet"/>
      </w:pPr>
      <w:r>
        <w:t>Choose real SLA and support targets after measuring infrastructure and staffing. Complete cyber/professional indemnity insurance and set liability caps accordingly.</w:t>
      </w:r>
    </w:p>
    <w:p>
      <w:pPr>
        <w:pStyle w:val="ListBullet"/>
      </w:pPr>
      <w:r>
        <w:t>Check whether workers under 18 can use the mobile app and implement age-appropriate privacy practices.</w:t>
      </w:r>
    </w:p>
    <w:p>
      <w:pPr>
        <w:pStyle w:val="ListBullet"/>
      </w:pPr>
      <w:r>
        <w:t>Have an Australian commercial technology/privacy lawyer approve the contract suite and state-specific surveillance/monitoring requirements before publication.</w:t>
      </w:r>
    </w:p>
    <w:p>
      <w:pPr>
        <w:pStyle w:val="Heading2"/>
      </w:pPr>
      <w:r>
        <w:t>Conditions that trigger additional legal work</w:t>
      </w:r>
    </w:p>
    <w:p>
      <w:pPr>
        <w:pStyle w:val="ListBullet"/>
      </w:pPr>
      <w:r>
        <w:t>If GPS/geofencing or attendance tracking is added: implement purpose limitation, notice, mobile permission controls and jurisdiction-by-jurisdiction worker-surveillance review.</w:t>
      </w:r>
    </w:p>
    <w:p>
      <w:pPr>
        <w:pStyle w:val="ListBullet"/>
      </w:pPr>
      <w:r>
        <w:t>If health records, medical leave reasons, biometric ID, police checks or other sensitive information are added: do a fresh PIA and assess collection-consent and sector-specific requirements.</w:t>
      </w:r>
    </w:p>
    <w:p>
      <w:pPr>
        <w:pStyle w:val="ListBullet"/>
      </w:pPr>
      <w:r>
        <w:t>If payroll calculations, award interpretation or employee-status decisions are added: assess Fair Work compliance, auditability, reliance warnings and human review.</w:t>
      </w:r>
    </w:p>
    <w:p>
      <w:pPr>
        <w:pStyle w:val="ListBullet"/>
      </w:pPr>
      <w:r>
        <w:t>If AI recommends shifts, ranks workers or materially informs employment decisions: assess fairness, transparency, error correction and APP 1.7–1.9 disclosure duties beginning 10 December 2026.</w:t>
      </w:r>
    </w:p>
    <w:p>
      <w:pPr>
        <w:pStyle w:val="ListBullet"/>
      </w:pPr>
      <w:r>
        <w:t>If international customers or overseas hosting are added: localise privacy notices and contracts, assess GDPR/UK GDPR and relevant transfer mechanisms as applicable; Australian drafting is not sufficient.</w:t>
      </w:r>
    </w:p>
    <w:p>
      <w:pPr>
        <w:pStyle w:val="ListBullet"/>
      </w:pPr>
      <w:r>
        <w:t>If the worker app offers optional paid digital services directly to individuals: revisit app-store billing rules and consumer terms; employer-paid B2B access is a different arrangement.</w:t>
      </w:r>
    </w:p>
    <w:p>
      <w:pPr>
        <w:pStyle w:val="Heading2"/>
      </w:pPr>
      <w:r>
        <w:t>Practical publication/acceptance process</w:t>
      </w:r>
    </w:p>
    <w:p>
      <w:pPr>
        <w:pStyle w:val="ListBullet"/>
      </w:pPr>
      <w:r>
        <w:t>Use a clear online order showing total fees and subscription measurements before contract acceptance.</w:t>
      </w:r>
    </w:p>
    <w:p>
      <w:pPr>
        <w:pStyle w:val="ListBullet"/>
      </w:pPr>
      <w:r>
        <w:t>Record accepting person, organisation, UTC timestamp, version hash/URL and copy of the agreed Order.</w:t>
      </w:r>
    </w:p>
    <w:p>
      <w:pPr>
        <w:pStyle w:val="ListBullet"/>
      </w:pPr>
      <w:r>
        <w:t>Link all incorporated schedules from the checkout and administrator onboarding screens.</w:t>
      </w:r>
    </w:p>
    <w:p>
      <w:pPr>
        <w:pStyle w:val="ListBullet"/>
      </w:pPr>
      <w:r>
        <w:t>Provide mobile workers the shorter notice at onboarding, with accessible full policy and employer notice links.</w:t>
      </w:r>
    </w:p>
    <w:p>
      <w:pPr>
        <w:pStyle w:val="ListBullet"/>
      </w:pPr>
      <w:r>
        <w:t>Maintain a historic version archive; alert customers before material term or price changes.</w:t>
      </w:r>
    </w:p>
    <w:p>
      <w:pPr>
        <w:pStyle w:val="ListBullet"/>
      </w:pPr>
      <w:r>
        <w:t>Provide one self-service cancellation flow and a separate secure export/download flow.</w:t>
      </w:r>
    </w:p>
    <w:p>
      <w:pPr>
        <w:pStyle w:val="Heading2"/>
      </w:pPr>
      <w:r>
        <w:t>Regulator sources checked (24 October 2026)</w:t>
      </w:r>
    </w:p>
    <w:p>
      <w:pPr>
        <w:pStyle w:val="ListBullet"/>
      </w:pPr>
      <w:r>
        <w:t>ACCC — Small-business unfair contract terms: https://www.accc.gov.au/business/selling-products-and-services/contracts</w:t>
      </w:r>
    </w:p>
    <w:p>
      <w:pPr>
        <w:pStyle w:val="ListBullet"/>
      </w:pPr>
      <w:r>
        <w:t>ACCC — Consumer guarantees: https://www.accc.gov.au/consumers/buying-products-and-services/consumer-rights-and-guarantees</w:t>
      </w:r>
    </w:p>
    <w:p>
      <w:pPr>
        <w:pStyle w:val="ListBullet"/>
      </w:pPr>
      <w:r>
        <w:t>OAIC — Employee records exemption and HR contractors: https://www.oaic.gov.au/privacy/privacy-guidance-for-organisations-and-government-agencies/organisations/employee-records-exemption</w:t>
      </w:r>
    </w:p>
    <w:p>
      <w:pPr>
        <w:pStyle w:val="ListBullet"/>
      </w:pPr>
      <w:r>
        <w:t>OAIC — APP 1 privacy policies (updated 30 September 2026): https://www.oaic.gov.au/privacy/australian-privacy-principles/australian-privacy-principles-guidelines/chapter-1-app-1-open-and-transparent-management-of-personal-information</w:t>
      </w:r>
    </w:p>
    <w:p>
      <w:pPr>
        <w:pStyle w:val="ListBullet"/>
      </w:pPr>
      <w:r>
        <w:t>OAIC — APP 11 security and deletion: https://www.oaic.gov.au/privacy/australian-privacy-principles/australian-privacy-principles-guidelines/chapter-11-app-11-security-of-personal-information</w:t>
      </w:r>
    </w:p>
    <w:p>
      <w:pPr>
        <w:pStyle w:val="ListBullet"/>
      </w:pPr>
      <w:r>
        <w:t>OAIC — APP 8 international disclosures: https://www.oaic.gov.au/privacy/australian-privacy-principles/australian-privacy-principles-guidelines/chapter-8-app-8-cross-border-disclosure-of-personal-information</w:t>
      </w:r>
    </w:p>
    <w:p>
      <w:pPr>
        <w:pStyle w:val="ListBullet"/>
      </w:pPr>
      <w:r>
        <w:t>OAIC — Notifiable Data Breaches responsibilities: https://www.oaic.gov.au/privacy/notifiable-data-breaches/preventing-preparing-for-and-responding-to-data-breaches/data-breach-preparation-and-response/part-4-notifiable-data-breach-ndb-scheme</w:t>
      </w:r>
    </w:p>
    <w:p>
      <w:pPr>
        <w:pStyle w:val="ListBullet"/>
      </w:pPr>
      <w:r>
        <w:t>OAIC — Automated decisions requirements from 10 December 2026: https://www.oaic.gov.au/news/media-centre/new-resources-on-transparency-for-use-of-ai-and-automated-decision-making</w:t>
      </w:r>
    </w:p>
    <w:p>
      <w:pPr>
        <w:pStyle w:val="ListBullet"/>
      </w:pPr>
      <w:r>
        <w:t>Fair Work Ombudsman — Employment record keeping: https://www.fairwork.gov.au/pay-and-wages/paying-wages/record-keeping</w:t>
      </w:r>
    </w:p>
    <w:p>
      <w:pPr>
        <w:pStyle w:val="ListBullet"/>
      </w:pPr>
      <w:r>
        <w:t>Fair Work Ombudsman — Right to disconnect: https://www.fairwork.gov.au/employment-conditions/right-to-disconnect</w:t>
      </w:r>
    </w:p>
    <w:p>
      <w:pPr>
        <w:pStyle w:val="ListBullet"/>
      </w:pPr>
      <w:r>
        <w:t>ACMA — Electronic marketing rules: https://www.acma.gov.au/spam-compliance-alerts</w:t>
      </w:r>
    </w:p>
    <w:p>
      <w:r>
        <w:t>Drafting note: Local workplace surveillance laws (including Victoria and other states/territories), taxes, electronic execution, app marketplace and industry-specific requirements require feature-specific confirmation before launch. This pack deliberately does not assert that proposed unimplemented security measures are already operating.</w:t>
      </w:r>
    </w:p>
    <w:sectPr w:rsidR="00FC693F" w:rsidRPr="0006063C" w:rsidSect="00034616">
      <w:headerReference w:type="default" r:id="rId9"/>
      <w:footerReference w:type="default" r:id="rId10"/>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DRAFT  •  24 October 2026  •  Not for publication without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CROPwms  /  AUSTRALIAN LEGAL DRAFT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3344"/>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94F6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433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