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MONAD</w:t>
      </w:r>
    </w:p>
    <w:p>
      <w:pPr>
        <w:spacing w:after="100"/>
        <w:jc w:val="center"/>
      </w:pPr>
      <w:r>
        <w:rPr>
          <w:color w:val="16A085"/>
          <w:sz w:val="32"/>
          <w:szCs w:val="32"/>
        </w:rPr>
        <w:t xml:space="preserve">Offline AI Appliance</w:t>
      </w:r>
    </w:p>
    <w:p>
      <w:pPr>
        <w:spacing w:after="400"/>
        <w:jc w:val="center"/>
      </w:pPr>
      <w:r>
        <w:rPr>
          <w:i/>
          <w:iCs/>
          <w:color w:val="5D6D7E"/>
          <w:sz w:val="24"/>
          <w:szCs w:val="24"/>
        </w:rPr>
        <w:t xml:space="preserve">Executive Summary</w:t>
      </w:r>
    </w:p>
    <w:p>
      <w:pPr>
        <w:pStyle w:val="Heading1"/>
      </w:pPr>
      <w:r>
        <w:t xml:space="preserve">Company Overview</w:t>
      </w:r>
    </w:p>
    <w:p>
      <w:pPr>
        <w:spacing w:after="120"/>
      </w:pPr>
      <w:r>
        <w:rPr>
          <w:sz w:val="22"/>
          <w:szCs w:val="22"/>
        </w:rPr>
        <w:t xml:space="preserve">MONAD delivers enterprise-grade artificial intelligence without cloud dependency. Our turnkey AI appliance combines purpose-built hardware with optimized local language models, enabling organizations to harness AI power while maintaining complete data sovereignty.</w:t>
      </w:r>
    </w:p>
    <w:p>
      <w:r>
        <w:rPr>
          <w:sz w:val="22"/>
          <w:szCs w:val="22"/>
        </w:rPr>
        <w:t xml:space="preserve">Unlike cloud-based AI services that expose sensitive data to third parties, MONAD processes everything locally — offering the capabilities of ChatGPT with the security of air-gapped infrastructure.</w:t>
      </w:r>
    </w:p>
    <w:p>
      <w:pPr>
        <w:spacing w:after="160"/>
      </w:pPr>
    </w:p>
    <w:p>
      <w:pPr>
        <w:pStyle w:val="Heading1"/>
      </w:pPr>
      <w:r>
        <w:t xml:space="preserve">The Problem</w:t>
      </w:r>
    </w:p>
    <w:p>
      <w:pPr>
        <w:spacing w:after="100"/>
      </w:pPr>
      <w:r>
        <w:rPr>
          <w:sz w:val="22"/>
          <w:szCs w:val="22"/>
        </w:rPr>
        <w:t xml:space="preserve">AI adoption faces critical barriers in regulated industries: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Privacy Risks: Cloud AI services create unacceptable exposure for confidential information (client files, medical records, financial data, proprietary 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Regulatory Compliance: GDPR, HIPAA, FCA, and other frameworks restrict or prohibit cloud AI usage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Structure: Ongoing API fees create unpredictable expenses that scale with usage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Connectivity Requirements: Internet dependency creates latency and eliminates offline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Vulnerabilities: Cloud systems present attack vectors and data breach risks</w:t>
      </w:r>
    </w:p>
    <w:p>
      <w:pPr>
        <w:spacing w:after="100"/>
      </w:pPr>
    </w:p>
    <w:p>
      <w:r>
        <w:rPr>
          <w:i/>
          <w:iCs/>
          <w:color w:val="5D6D7E"/>
          <w:sz w:val="22"/>
          <w:szCs w:val="22"/>
        </w:rPr>
        <w:t xml:space="preserve">Market Impact: An estimated 62% of enterprises cite privacy and compliance concerns as barriers to AI adoption (Gartner, 2024).</w:t>
      </w:r>
    </w:p>
    <w:p>
      <w:pPr>
        <w:spacing w:after="160"/>
      </w:pPr>
    </w:p>
    <w:p>
      <w:pPr>
        <w:pStyle w:val="Heading1"/>
      </w:pPr>
      <w:r>
        <w:t xml:space="preserve">The Solution</w:t>
      </w:r>
    </w:p>
    <w:p>
      <w:pPr>
        <w:spacing w:after="120"/>
      </w:pPr>
      <w:r>
        <w:rPr>
          <w:sz w:val="22"/>
          <w:szCs w:val="22"/>
        </w:rPr>
        <w:t xml:space="preserve">MONAD is a complete offline AI system — hardware appliance plus optimized software stack — that delivers local language model processing with enterprise-grade performance.</w:t>
      </w:r>
    </w:p>
    <w:p>
      <w:pPr>
        <w:pStyle w:val="Heading2"/>
      </w:pPr>
      <w:r>
        <w:t xml:space="preserve">Software Capabilities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Natural Language Processing: Chat, reasoning, content generation, summarization, translation, code writing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Modular Architecture: Domain-specific agents (SurveyorGPT, DeveloperGPT, LegalDocsGPT) installable locally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 API: REST and WebSocket endpoints for seamless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Multi-Platform: Identical performance on macOS, Windows, Linux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Professional Interface: Premium glassmorphic UI, not terminal-based</w:t>
      </w:r>
    </w:p>
    <w:p>
      <w:pPr>
        <w:spacing w:after="120"/>
      </w:pPr>
    </w:p>
    <w:p>
      <w:pPr>
        <w:pStyle w:val="Heading2"/>
      </w:pPr>
      <w:r>
        <w:t xml:space="preserve">Hardware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Compact Form Factor: Mac mini-sized desktop appliance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Variants: Apple Silicon, AMD Ryzen, Intel NPU configurations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Memory: 32-64GB unified RAM for fast inference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Storage: 1TB NVMe SSD preloaded with quantized LLMs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 GPU: RTX 4060/RX 7600 for enterprise-scale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Silent Operation: Passive-cooled aluminium chassis</w:t>
      </w:r>
    </w:p>
    <w:p>
      <w:pPr>
        <w:spacing w:after="120"/>
      </w:pPr>
    </w:p>
    <w:p>
      <w:pPr>
        <w:pStyle w:val="Heading2"/>
      </w:pPr>
      <w:r>
        <w:t xml:space="preserve">Key Differentiators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Data Isolation: Zero cloud transmission, all processing local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Turnkey Deployment: Pre-configured hardware eliminates setup complexity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Performance: Sub-3 second inference for 7B parameter models with GPU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Model: One-time hardware purchase, zero ongoing API fees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 Ready: Enables AI in GDPR, HIPAA, FCA regulated environments</w:t>
      </w:r>
    </w:p>
    <w:r>
      <w:br w:type="page"/>
    </w:r>
    <w:p>
      <w:pPr>
        <w:pStyle w:val="Heading1"/>
      </w:pPr>
      <w:r>
        <w:t xml:space="preserve">Market Opportunity</w:t>
      </w:r>
    </w:p>
    <w:p>
      <w:pPr>
        <w:spacing w:after="120"/>
      </w:pPr>
      <w:r>
        <w:rPr>
          <w:sz w:val="22"/>
          <w:szCs w:val="22"/>
        </w:rPr>
        <w:t xml:space="preserve">The edge AI market is projected to reach $8.2B by 2028 (MarketsandMarkets), driven by privacy regulations and data sovereignty requirements.</w:t>
      </w:r>
    </w:p>
    <w:p>
      <w:pPr>
        <w:pStyle w:val="Heading2"/>
      </w:pPr>
      <w:r>
        <w:t xml:space="preserve">Target Segments</w:t>
      </w:r>
    </w:p>
    <w:p>
      <w:pPr>
        <w:spacing w:before="100" w:after="60"/>
      </w:pPr>
      <w:r>
        <w:rPr>
          <w:b/>
          <w:bCs/>
          <w:sz w:val="22"/>
          <w:szCs w:val="22"/>
        </w:rPr>
        <w:t xml:space="preserve">1. Professional Services &amp; Regulated Industries (Primary)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Legal firms: Confidential document analysis, contract drafting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Healthcare: Medical record processing, clinical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Financial services: Risk analysis, audit,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Surveyors/Architects: Property data, technical reports</w:t>
      </w:r>
    </w:p>
    <w:p>
      <w:pPr>
        <w:spacing w:after="100"/>
      </w:pPr>
    </w:p>
    <w:p>
      <w:pPr>
        <w:spacing w:before="100" w:after="60"/>
      </w:pPr>
      <w:r>
        <w:rPr>
          <w:b/>
          <w:bCs/>
          <w:sz w:val="22"/>
          <w:szCs w:val="22"/>
        </w:rPr>
        <w:t xml:space="preserve">2. Developers &amp; Technical Professionals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developers requiring offline fine-tuning and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professionals building isolated tooling</w:t>
      </w:r>
    </w:p>
    <w:p>
      <w:pPr>
        <w:spacing w:after="100"/>
      </w:pPr>
    </w:p>
    <w:p>
      <w:pPr>
        <w:spacing w:before="100" w:after="60"/>
      </w:pPr>
      <w:r>
        <w:rPr>
          <w:b/>
          <w:bCs/>
          <w:sz w:val="22"/>
          <w:szCs w:val="22"/>
        </w:rPr>
        <w:t xml:space="preserve">3. Education &amp; Research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Universities in low-connectivity regions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environments requiring student privacy</w:t>
      </w:r>
    </w:p>
    <w:p>
      <w:pPr>
        <w:spacing w:after="160"/>
      </w:pPr>
    </w:p>
    <w:p>
      <w:pPr>
        <w:pStyle w:val="Heading1"/>
      </w:pPr>
      <w:r>
        <w:t xml:space="preserve">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800"/>
        <w:gridCol w:w="2080"/>
        <w:gridCol w:w="2080"/>
        <w:gridCol w:w="2080"/>
      </w:tblGrid>
      <w:tr>
        <w:tc>
          <w:tcPr>
            <w:tcW w:type="dxa" w:w="280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8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MONAD</w:t>
            </w:r>
          </w:p>
        </w:tc>
        <w:tc>
          <w:tcPr>
            <w:tcW w:type="dxa" w:w="208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Cloud AI</w:t>
            </w:r>
          </w:p>
        </w:tc>
        <w:tc>
          <w:tcPr>
            <w:tcW w:type="dxa" w:w="208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DIY Tools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Full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2080"/>
            <w:shd w:fill="FEF9E7" w:val="clear"/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Turnkey Hardware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Yes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BYO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Professional UI/UX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Premium</w:t>
            </w:r>
          </w:p>
        </w:tc>
        <w:tc>
          <w:tcPr>
            <w:tcW w:type="dxa" w:w="2080"/>
            <w:shd w:fill="FEF9E7" w:val="clear"/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Limited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CLI Only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Enterprise Deployment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Air-gapped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Cloud only</w:t>
            </w:r>
          </w:p>
        </w:tc>
        <w:tc>
          <w:tcPr>
            <w:tcW w:type="dxa" w:w="2080"/>
            <w:shd w:fill="FEF9E7" w:val="clear"/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Developer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Business Model &amp; Traction</w:t>
      </w:r>
    </w:p>
    <w:p>
      <w:pPr>
        <w:pStyle w:val="Heading2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Sales: Developer Edition (£2,500), Professional Edition (£4,000), Enterprise Edition (£6,500+)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 Licensing: Multi-seat deployments and custom model training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 Support: Priority assistance and SLA guarantees</w:t>
      </w:r>
    </w:p>
    <w:p>
      <w:pPr>
        <w:spacing w:after="120"/>
      </w:pPr>
    </w:p>
    <w:p>
      <w:pPr>
        <w:pStyle w:val="Heading2"/>
      </w:pPr>
      <w:r>
        <w:t xml:space="preserve">Current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Working prototype operational on Mac Mini M2 Pro and x86 test bench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Private beta with internal users (engineers, surveyors, founders)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Production-ready software stack (React + FastAPI + llama.cpp)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Initial B2B pilot discussions in legal and surveying sectors</w:t>
      </w:r>
    </w:p>
    <w:p>
      <w:pPr>
        <w:spacing w:after="160"/>
      </w:pPr>
    </w:p>
    <w:p>
      <w:pPr>
        <w:pStyle w:val="Heading1"/>
      </w:pPr>
      <w:r>
        <w:t xml:space="preserve">Investment Opportunity</w:t>
      </w:r>
    </w:p>
    <w:p>
      <w:pPr>
        <w:spacing w:after="120"/>
      </w:pPr>
      <w:r>
        <w:rPr>
          <w:b/>
          <w:bCs/>
          <w:color w:val="1C2833"/>
          <w:sz w:val="24"/>
          <w:szCs w:val="24"/>
        </w:rPr>
        <w:t xml:space="preserve">Seeking: </w:t>
      </w:r>
      <w:r>
        <w:rPr>
          <w:color w:val="16A085"/>
          <w:sz w:val="24"/>
          <w:szCs w:val="24"/>
        </w:rPr>
        <w:t xml:space="preserve">£1.5M seed round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Structure: </w:t>
      </w:r>
      <w:r>
        <w:rPr>
          <w:sz w:val="22"/>
          <w:szCs w:val="22"/>
        </w:rPr>
        <w:t xml:space="preserve">Convertible note or SAFE at £7M pre-money valuation</w:t>
      </w:r>
    </w:p>
    <w:p>
      <w:pPr>
        <w:pStyle w:val="Heading2"/>
      </w:pPr>
      <w:r>
        <w:t xml:space="preserve">Use of Funds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30% Software R&amp;D: Expand LLM engine, fine-tune models, multimodal support (voice/image)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25% Hardware Prototyping: Manufacture 50-100 developer units, thermal design, CE/FCC certification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20% Engineering Team: 2 full-stack developers + 1 AI engineer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15% Operations &amp; Compliance: Data protection, legal, patents, certifications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10% Marketing &amp; Partnerships: Developer launch, enterprise pilots, brand building</w:t>
      </w:r>
    </w:p>
    <w:p>
      <w:pPr>
        <w:spacing w:after="120"/>
      </w:pPr>
    </w:p>
    <w:p>
      <w:pPr>
        <w:pStyle w:val="Heading2"/>
      </w:pPr>
      <w:r>
        <w:t xml:space="preserve">18-Month Milestones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Q1 2026: Developer Preview Edition (50 units)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Q2 2026: Commercial Beta launch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Q3 2026: Enterprise Edition with multimodal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18-Month Target: £500K revenue from hardware + licensing</w:t>
      </w:r>
    </w:p>
    <w:p>
      <w:pPr>
        <w:spacing w:after="200"/>
      </w:pPr>
    </w:p>
    <w:p>
      <w:pPr>
        <w:spacing w:before="200"/>
        <w:jc w:val="center"/>
      </w:pPr>
      <w:r>
        <w:rPr>
          <w:b/>
          <w:bCs/>
          <w:color w:val="E74C3C"/>
          <w:sz w:val="20"/>
          <w:szCs w:val="20"/>
        </w:rPr>
        <w:t xml:space="preserve">CONFIDENTIAL</w:t>
      </w:r>
    </w:p>
    <w:p>
      <w:pPr>
        <w:jc w:val="center"/>
      </w:pPr>
      <w:r>
        <w:rPr>
          <w:color w:val="5D6D7E"/>
          <w:sz w:val="18"/>
          <w:szCs w:val="18"/>
        </w:rPr>
        <w:t xml:space="preserve">This document contains confidential information intended solely for qualified investors.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C283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2025-10-26T03:10:03.485Z</dcterms:created>
  <dcterms:modified xsi:type="dcterms:W3CDTF">2025-10-26T03:10:03.486Z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