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0"/>
      </w:pPr>
      <w:r>
        <w:rPr>
          <w:rFonts w:ascii="Arial" w:hAnsi="Arial"/>
          <w:b/>
          <w:i w:val="0"/>
          <w:color w:val="00A693"/>
          <w:sz w:val="18"/>
        </w:rPr>
        <w:t>NOVAFIBER BUSINESS</w:t>
      </w:r>
    </w:p>
    <w:p>
      <w:pPr>
        <w:spacing w:after="40" w:before="0"/>
      </w:pPr>
      <w:r>
        <w:rPr>
          <w:rFonts w:ascii="Arial" w:hAnsi="Arial"/>
          <w:b/>
          <w:i w:val="0"/>
          <w:color w:val="12233F"/>
          <w:sz w:val="60"/>
        </w:rPr>
        <w:t>Connectivity proposal</w:t>
      </w:r>
    </w:p>
    <w:p>
      <w:pPr>
        <w:spacing w:after="480" w:before="0"/>
      </w:pPr>
      <w:r>
        <w:rPr>
          <w:rFonts w:ascii="Arial" w:hAnsi="Arial"/>
          <w:b w:val="0"/>
          <w:i w:val="0"/>
          <w:color w:val="1E2733"/>
          <w:sz w:val="36"/>
        </w:rPr>
        <w:t>for {{NF_CompanyName}}</w:t>
      </w:r>
    </w:p>
    <w:tbl>
      <w:tblPr>
        <w:tblW w:type="auto" w:w="0"/>
        <w:tblLook w:firstColumn="1" w:firstRow="1" w:lastColumn="0" w:lastRow="0" w:noHBand="0" w:noVBand="1" w:val="04A0"/>
        <w:tblBorders>
          <w:top w:val="single" w:sz="4" w:color="D5DCE6"/>
          <w:left w:val="single" w:sz="4" w:color="D5DCE6"/>
          <w:bottom w:val="single" w:sz="4" w:color="D5DCE6"/>
          <w:right w:val="single" w:sz="4" w:color="D5DCE6"/>
          <w:insideH w:val="single" w:sz="4" w:color="D5DCE6"/>
          <w:insideV w:val="single" w:sz="4" w:color="D5DCE6"/>
        </w:tblBorders>
      </w:tblPr>
      <w:tblGrid>
        <w:gridCol w:w="4873"/>
        <w:gridCol w:w="4873"/>
      </w:tblGrid>
      <w:tr>
        <w:tc>
          <w:tcPr>
            <w:tcW w:type="dxa" w:w="2551"/>
            <w:shd w:val="clear" w:color="auto" w:fill="F2F5F9"/>
          </w:tcPr>
          <w:p>
            <w:pPr>
              <w:spacing w:after="0"/>
            </w:pPr>
            <w:r/>
            <w:r>
              <w:rPr>
                <w:rFonts w:ascii="Arial" w:hAnsi="Arial"/>
                <w:b/>
                <w:i w:val="0"/>
                <w:color w:val="5B6676"/>
                <w:sz w:val="16"/>
              </w:rPr>
              <w:t>PROPOSAL</w:t>
            </w:r>
          </w:p>
        </w:tc>
        <w:tc>
          <w:tcPr>
            <w:tcW w:type="dxa" w:w="4535"/>
          </w:tcPr>
          <w:p>
            <w:pPr>
              <w:spacing w:after="0"/>
            </w:pPr>
            <w:r/>
            <w:r>
              <w:rPr>
                <w:rFonts w:ascii="Arial" w:hAnsi="Arial"/>
                <w:b/>
                <w:i w:val="0"/>
                <w:color w:val="1E2733"/>
                <w:sz w:val="21"/>
              </w:rPr>
              <w:t>{{NF_QuoteNumber}}</w:t>
            </w:r>
          </w:p>
        </w:tc>
      </w:tr>
      <w:tr>
        <w:tc>
          <w:tcPr>
            <w:tcW w:type="dxa" w:w="2551"/>
            <w:shd w:val="clear" w:color="auto" w:fill="F2F5F9"/>
          </w:tcPr>
          <w:p>
            <w:pPr>
              <w:spacing w:after="0"/>
            </w:pPr>
            <w:r/>
            <w:r>
              <w:rPr>
                <w:rFonts w:ascii="Arial" w:hAnsi="Arial"/>
                <w:b/>
                <w:i w:val="0"/>
                <w:color w:val="5B6676"/>
                <w:sz w:val="16"/>
              </w:rPr>
              <w:t>PREPARED</w:t>
            </w:r>
          </w:p>
        </w:tc>
        <w:tc>
          <w:tcPr>
            <w:tcW w:type="dxa" w:w="4535"/>
          </w:tcPr>
          <w:p>
            <w:pPr>
              <w:spacing w:after="0"/>
            </w:pPr>
            <w:r/>
            <w:r>
              <w:rPr>
                <w:rFonts w:ascii="Arial" w:hAnsi="Arial"/>
                <w:b/>
                <w:i w:val="0"/>
                <w:color w:val="1E2733"/>
                <w:sz w:val="21"/>
              </w:rPr>
              <w:t>{{NF_ProposalDate}}</w:t>
            </w:r>
          </w:p>
        </w:tc>
      </w:tr>
      <w:tr>
        <w:tc>
          <w:tcPr>
            <w:tcW w:type="dxa" w:w="2551"/>
            <w:shd w:val="clear" w:color="auto" w:fill="F2F5F9"/>
          </w:tcPr>
          <w:p>
            <w:pPr>
              <w:spacing w:after="0"/>
            </w:pPr>
            <w:r/>
            <w:r>
              <w:rPr>
                <w:rFonts w:ascii="Arial" w:hAnsi="Arial"/>
                <w:b/>
                <w:i w:val="0"/>
                <w:color w:val="5B6676"/>
                <w:sz w:val="16"/>
              </w:rPr>
              <w:t>VALID UNTIL</w:t>
            </w:r>
          </w:p>
        </w:tc>
        <w:tc>
          <w:tcPr>
            <w:tcW w:type="dxa" w:w="4535"/>
          </w:tcPr>
          <w:p>
            <w:pPr>
              <w:spacing w:after="0"/>
            </w:pPr>
            <w:r/>
            <w:r>
              <w:rPr>
                <w:rFonts w:ascii="Arial" w:hAnsi="Arial"/>
                <w:b/>
                <w:i w:val="0"/>
                <w:color w:val="1E2733"/>
                <w:sz w:val="21"/>
              </w:rPr>
              <w:t>{{NF_ValidUntil}}</w:t>
            </w:r>
          </w:p>
        </w:tc>
      </w:tr>
      <w:tr>
        <w:tc>
          <w:tcPr>
            <w:tcW w:type="dxa" w:w="2551"/>
            <w:shd w:val="clear" w:color="auto" w:fill="F2F5F9"/>
          </w:tcPr>
          <w:p>
            <w:pPr>
              <w:spacing w:after="0"/>
            </w:pPr>
            <w:r/>
            <w:r>
              <w:rPr>
                <w:rFonts w:ascii="Arial" w:hAnsi="Arial"/>
                <w:b/>
                <w:i w:val="0"/>
                <w:color w:val="5B6676"/>
                <w:sz w:val="16"/>
              </w:rPr>
              <w:t>PREPARED BY</w:t>
            </w:r>
          </w:p>
        </w:tc>
        <w:tc>
          <w:tcPr>
            <w:tcW w:type="dxa" w:w="4535"/>
          </w:tcPr>
          <w:p>
            <w:pPr>
              <w:spacing w:after="0"/>
            </w:pPr>
            <w:r/>
            <w:r>
              <w:rPr>
                <w:rFonts w:ascii="Arial" w:hAnsi="Arial"/>
                <w:b/>
                <w:i w:val="0"/>
                <w:color w:val="1E2733"/>
                <w:sz w:val="21"/>
              </w:rPr>
              <w:t>{{NF_PreparedBy}}</w:t>
            </w:r>
          </w:p>
        </w:tc>
      </w:tr>
    </w:tbl>
    <w:p>
      <w:pPr>
        <w:spacing w:after="40" w:before="480"/>
      </w:pPr>
      <w:r>
        <w:rPr>
          <w:rFonts w:ascii="Arial" w:hAnsi="Arial"/>
          <w:b/>
          <w:i w:val="0"/>
          <w:color w:val="00A693"/>
          <w:sz w:val="22"/>
        </w:rPr>
        <w:t>{{NF_SiteCount}} sites · {{NF_StateList}}</w:t>
      </w:r>
    </w:p>
    <w:p>
      <w:pPr>
        <w:spacing w:after="0" w:before="0"/>
      </w:pPr>
      <w:r>
        <w:rPr>
          <w:rFonts w:ascii="Arial" w:hAnsi="Arial"/>
          <w:b w:val="0"/>
          <w:i w:val="0"/>
          <w:color w:val="5B6676"/>
          <w:sz w:val="20"/>
        </w:rPr>
        <w:t>Business fiber, dedicated internet, SD-WAN and voice, priced for each site’s state.</w:t>
      </w:r>
    </w:p>
    <w:p>
      <w:pPr>
        <w:spacing w:after="0" w:before="0"/>
      </w:pPr>
      <w:r>
        <w:br w:type="page"/>
      </w:r>
    </w:p>
    <w:p>
      <w:pPr>
        <w:spacing w:after="80" w:before="200"/>
      </w:pPr>
      <w:r>
        <w:rPr>
          <w:rFonts w:ascii="Arial" w:hAnsi="Arial"/>
          <w:b/>
          <w:i w:val="0"/>
          <w:color w:val="00A693"/>
          <w:sz w:val="26"/>
        </w:rPr>
        <w:t xml:space="preserve">1  </w:t>
      </w:r>
      <w:r>
        <w:rPr>
          <w:rFonts w:ascii="Arial" w:hAnsi="Arial"/>
          <w:b/>
          <w:i w:val="0"/>
          <w:color w:val="12233F"/>
          <w:sz w:val="26"/>
        </w:rPr>
        <w:t>Executive summary</w:t>
      </w:r>
    </w:p>
    <w:p>
      <w:pPr>
        <w:spacing w:after="120" w:before="0"/>
      </w:pPr>
      <w:r>
        <w:rPr>
          <w:rFonts w:ascii="Arial" w:hAnsi="Arial"/>
          <w:b w:val="0"/>
          <w:i w:val="0"/>
          <w:color w:val="1E2733"/>
          <w:sz w:val="20"/>
        </w:rPr>
        <w:t>NovaFiber proposes to connect {{NF_SiteCount}} {{NF_CompanyName}} locations on its fiber network under one agreement and one bill. Each site has its own service bundle, installation visit and service location, and is priced for its state from NovaFiber’s location-based rate card.</w:t>
      </w:r>
    </w:p>
    <w:tbl>
      <w:tblPr>
        <w:tblW w:type="auto" w:w="0"/>
        <w:tblLook w:firstColumn="1" w:firstRow="1" w:lastColumn="0" w:lastRow="0" w:noHBand="0" w:noVBand="1" w:val="04A0"/>
        <w:tblBorders>
          <w:top w:val="single" w:sz="0" w:color="FFFFFF"/>
          <w:left w:val="single" w:sz="0" w:color="FFFFFF"/>
          <w:bottom w:val="single" w:sz="0" w:color="FFFFFF"/>
          <w:right w:val="single" w:sz="0" w:color="FFFFFF"/>
          <w:insideH w:val="nil"/>
          <w:insideV w:val="nil"/>
        </w:tblBorders>
      </w:tblPr>
      <w:tblGrid>
        <w:gridCol w:w="3249"/>
        <w:gridCol w:w="3249"/>
        <w:gridCol w:w="3249"/>
      </w:tblGrid>
      <w:tr>
        <w:tc>
          <w:tcPr>
            <w:tcW w:type="dxa" w:w="3135"/>
            <w:shd w:val="clear" w:color="auto" w:fill="12233F"/>
          </w:tcPr>
          <w:p>
            <w:pPr>
              <w:spacing w:after="0"/>
            </w:pPr>
            <w:r/>
            <w:r>
              <w:rPr>
                <w:rFonts w:ascii="Arial" w:hAnsi="Arial"/>
                <w:b/>
                <w:i w:val="0"/>
                <w:color w:val="A9C1DD"/>
                <w:sz w:val="15"/>
              </w:rPr>
              <w:t>MONTHLY RECURRING</w:t>
            </w:r>
          </w:p>
          <w:p>
            <w:pPr>
              <w:spacing w:after="80"/>
            </w:pPr>
            <w:r>
              <w:rPr>
                <w:rFonts w:ascii="Arial" w:hAnsi="Arial"/>
                <w:b/>
                <w:i w:val="0"/>
                <w:color w:val="FFFFFF"/>
                <w:sz w:val="30"/>
              </w:rPr>
              <w:t>{{NF_MonthlyTotal}}</w:t>
            </w:r>
          </w:p>
        </w:tc>
        <w:tc>
          <w:tcPr>
            <w:tcW w:type="dxa" w:w="3135"/>
            <w:shd w:val="clear" w:color="auto" w:fill="12233F"/>
          </w:tcPr>
          <w:p>
            <w:pPr>
              <w:spacing w:after="0"/>
            </w:pPr>
            <w:r/>
            <w:r>
              <w:rPr>
                <w:rFonts w:ascii="Arial" w:hAnsi="Arial"/>
                <w:b/>
                <w:i w:val="0"/>
                <w:color w:val="A9C1DD"/>
                <w:sz w:val="15"/>
              </w:rPr>
              <w:t>ONE-TIME</w:t>
            </w:r>
          </w:p>
          <w:p>
            <w:pPr>
              <w:spacing w:after="80"/>
            </w:pPr>
            <w:r>
              <w:rPr>
                <w:rFonts w:ascii="Arial" w:hAnsi="Arial"/>
                <w:b/>
                <w:i w:val="0"/>
                <w:color w:val="FFFFFF"/>
                <w:sz w:val="30"/>
              </w:rPr>
              <w:t>{{NF_OneTimeTotal}}</w:t>
            </w:r>
          </w:p>
        </w:tc>
        <w:tc>
          <w:tcPr>
            <w:tcW w:type="dxa" w:w="3135"/>
            <w:shd w:val="clear" w:color="auto" w:fill="12233F"/>
          </w:tcPr>
          <w:p>
            <w:pPr>
              <w:spacing w:after="0"/>
            </w:pPr>
            <w:r/>
            <w:r>
              <w:rPr>
                <w:rFonts w:ascii="Arial" w:hAnsi="Arial"/>
                <w:b/>
                <w:i w:val="0"/>
                <w:color w:val="A9C1DD"/>
                <w:sz w:val="15"/>
              </w:rPr>
              <w:t>36-MONTH CONTRACT VALUE</w:t>
            </w:r>
          </w:p>
          <w:p>
            <w:pPr>
              <w:spacing w:after="80"/>
            </w:pPr>
            <w:r>
              <w:rPr>
                <w:rFonts w:ascii="Arial" w:hAnsi="Arial"/>
                <w:b/>
                <w:i w:val="0"/>
                <w:color w:val="FFFFFF"/>
                <w:sz w:val="30"/>
              </w:rPr>
              <w:t>{{NF_ContractValue}}</w:t>
            </w:r>
          </w:p>
        </w:tc>
      </w:tr>
    </w:tbl>
    <w:p>
      <w:pPr>
        <w:spacing w:after="80" w:before="200"/>
      </w:pPr>
      <w:r>
        <w:rPr>
          <w:rFonts w:ascii="Arial" w:hAnsi="Arial"/>
          <w:b/>
          <w:i w:val="0"/>
          <w:color w:val="00A693"/>
          <w:sz w:val="26"/>
        </w:rPr>
        <w:t xml:space="preserve">2  </w:t>
      </w:r>
      <w:r>
        <w:rPr>
          <w:rFonts w:ascii="Arial" w:hAnsi="Arial"/>
          <w:b/>
          <w:i w:val="0"/>
          <w:color w:val="12233F"/>
          <w:sz w:val="26"/>
        </w:rPr>
        <w:t>Services by site</w:t>
      </w:r>
    </w:p>
    <w:tbl>
      <w:tblPr>
        <w:tblW w:type="auto" w:w="0"/>
        <w:tblLook w:firstColumn="1" w:firstRow="1" w:lastColumn="0" w:lastRow="0" w:noHBand="0" w:noVBand="1" w:val="04A0"/>
        <w:tblBorders>
          <w:top w:val="single" w:sz="4" w:color="D5DCE6"/>
          <w:left w:val="single" w:sz="4" w:color="D5DCE6"/>
          <w:bottom w:val="single" w:sz="4" w:color="D5DCE6"/>
          <w:right w:val="single" w:sz="4" w:color="D5DCE6"/>
          <w:insideH w:val="single" w:sz="4" w:color="D5DCE6"/>
          <w:insideV w:val="single" w:sz="4" w:color="D5DCE6"/>
        </w:tblBorders>
      </w:tblPr>
      <w:tblGrid>
        <w:gridCol w:w="1624"/>
        <w:gridCol w:w="1624"/>
        <w:gridCol w:w="1624"/>
        <w:gridCol w:w="1624"/>
        <w:gridCol w:w="1624"/>
        <w:gridCol w:w="1624"/>
      </w:tblGrid>
      <w:tr>
        <w:tc>
          <w:tcPr>
            <w:tcW w:type="dxa" w:w="1814"/>
            <w:shd w:val="clear" w:color="auto" w:fill="12233F"/>
          </w:tcPr>
          <w:p>
            <w:pPr>
              <w:spacing w:after="0"/>
            </w:pPr>
            <w:r/>
            <w:r>
              <w:rPr>
                <w:rFonts w:ascii="Arial" w:hAnsi="Arial"/>
                <w:b/>
                <w:i w:val="0"/>
                <w:color w:val="FFFFFF"/>
                <w:sz w:val="17"/>
              </w:rPr>
              <w:t>Site</w:t>
            </w:r>
          </w:p>
        </w:tc>
        <w:tc>
          <w:tcPr>
            <w:tcW w:type="dxa" w:w="680"/>
            <w:shd w:val="clear" w:color="auto" w:fill="12233F"/>
          </w:tcPr>
          <w:p>
            <w:pPr>
              <w:spacing w:after="0"/>
            </w:pPr>
            <w:r/>
            <w:r>
              <w:rPr>
                <w:rFonts w:ascii="Arial" w:hAnsi="Arial"/>
                <w:b/>
                <w:i w:val="0"/>
                <w:color w:val="FFFFFF"/>
                <w:sz w:val="17"/>
              </w:rPr>
              <w:t>State</w:t>
            </w:r>
          </w:p>
        </w:tc>
        <w:tc>
          <w:tcPr>
            <w:tcW w:type="dxa" w:w="3402"/>
            <w:shd w:val="clear" w:color="auto" w:fill="12233F"/>
          </w:tcPr>
          <w:p>
            <w:pPr>
              <w:spacing w:after="0"/>
            </w:pPr>
            <w:r/>
            <w:r>
              <w:rPr>
                <w:rFonts w:ascii="Arial" w:hAnsi="Arial"/>
                <w:b/>
                <w:i w:val="0"/>
                <w:color w:val="FFFFFF"/>
                <w:sz w:val="17"/>
              </w:rPr>
              <w:t>Service</w:t>
            </w:r>
          </w:p>
        </w:tc>
        <w:tc>
          <w:tcPr>
            <w:tcW w:type="dxa" w:w="680"/>
            <w:shd w:val="clear" w:color="auto" w:fill="12233F"/>
          </w:tcPr>
          <w:p>
            <w:pPr>
              <w:spacing w:after="0"/>
              <w:jc w:val="right"/>
            </w:pPr>
            <w:r/>
            <w:r>
              <w:rPr>
                <w:rFonts w:ascii="Arial" w:hAnsi="Arial"/>
                <w:b/>
                <w:i w:val="0"/>
                <w:color w:val="FFFFFF"/>
                <w:sz w:val="17"/>
              </w:rPr>
              <w:t>Qty</w:t>
            </w:r>
          </w:p>
        </w:tc>
        <w:tc>
          <w:tcPr>
            <w:tcW w:type="dxa" w:w="1417"/>
            <w:shd w:val="clear" w:color="auto" w:fill="12233F"/>
          </w:tcPr>
          <w:p>
            <w:pPr>
              <w:spacing w:after="0"/>
              <w:jc w:val="right"/>
            </w:pPr>
            <w:r/>
            <w:r>
              <w:rPr>
                <w:rFonts w:ascii="Arial" w:hAnsi="Arial"/>
                <w:b/>
                <w:i w:val="0"/>
                <w:color w:val="FFFFFF"/>
                <w:sz w:val="17"/>
              </w:rPr>
              <w:t>Monthly</w:t>
            </w:r>
          </w:p>
        </w:tc>
        <w:tc>
          <w:tcPr>
            <w:tcW w:type="dxa" w:w="1417"/>
            <w:shd w:val="clear" w:color="auto" w:fill="12233F"/>
          </w:tcPr>
          <w:p>
            <w:pPr>
              <w:spacing w:after="0"/>
              <w:jc w:val="right"/>
            </w:pPr>
            <w:r/>
            <w:r>
              <w:rPr>
                <w:rFonts w:ascii="Arial" w:hAnsi="Arial"/>
                <w:b/>
                <w:i w:val="0"/>
                <w:color w:val="FFFFFF"/>
                <w:sz w:val="17"/>
              </w:rPr>
              <w:t>One-time</w:t>
            </w:r>
          </w:p>
        </w:tc>
      </w:tr>
      <w:tr>
        <w:tc>
          <w:tcPr>
            <w:tcW w:type="dxa" w:w="1814"/>
          </w:tcPr>
          <w:p>
            <w:pPr>
              <w:spacing w:after="0"/>
            </w:pPr>
            <w:r/>
            <w:r>
              <w:rPr>
                <w:rFonts w:ascii="Arial" w:hAnsi="Arial"/>
                <w:b w:val="0"/>
                <w:i w:val="0"/>
                <w:color w:val="5B6676"/>
                <w:sz w:val="17"/>
              </w:rPr>
              <w:t>{{#SalesTransactionItem}}{{NF_SiteName}}</w:t>
            </w:r>
          </w:p>
        </w:tc>
        <w:tc>
          <w:tcPr>
            <w:tcW w:type="dxa" w:w="680"/>
          </w:tcPr>
          <w:p>
            <w:pPr>
              <w:spacing w:after="0"/>
            </w:pPr>
            <w:r/>
            <w:r>
              <w:rPr>
                <w:rFonts w:ascii="Arial" w:hAnsi="Arial"/>
                <w:b w:val="0"/>
                <w:i w:val="0"/>
                <w:color w:val="5B6676"/>
                <w:sz w:val="17"/>
              </w:rPr>
              <w:t>{{NF_SiteState}}</w:t>
            </w:r>
          </w:p>
        </w:tc>
        <w:tc>
          <w:tcPr>
            <w:tcW w:type="dxa" w:w="3402"/>
          </w:tcPr>
          <w:p>
            <w:pPr>
              <w:spacing w:after="0"/>
            </w:pPr>
            <w:r/>
            <w:r>
              <w:rPr>
                <w:rFonts w:ascii="Arial" w:hAnsi="Arial"/>
                <w:b/>
                <w:i w:val="0"/>
                <w:color w:val="1E2733"/>
                <w:sz w:val="18"/>
              </w:rPr>
              <w:t>{{ProductName}}</w:t>
            </w:r>
          </w:p>
        </w:tc>
        <w:tc>
          <w:tcPr>
            <w:tcW w:type="dxa" w:w="680"/>
          </w:tcPr>
          <w:p>
            <w:pPr>
              <w:spacing w:after="0"/>
              <w:jc w:val="right"/>
            </w:pPr>
            <w:r/>
            <w:r>
              <w:rPr>
                <w:rFonts w:ascii="Arial" w:hAnsi="Arial"/>
                <w:b w:val="0"/>
                <w:i w:val="0"/>
                <w:sz w:val="18"/>
              </w:rPr>
              <w:t>{{NF_Quantity}}</w:t>
            </w:r>
          </w:p>
        </w:tc>
        <w:tc>
          <w:tcPr>
            <w:tcW w:type="dxa" w:w="1417"/>
          </w:tcPr>
          <w:p>
            <w:pPr>
              <w:spacing w:after="0"/>
              <w:jc w:val="right"/>
            </w:pPr>
            <w:r/>
            <w:r>
              <w:rPr>
                <w:rFonts w:ascii="Arial" w:hAnsi="Arial"/>
                <w:b w:val="0"/>
                <w:i w:val="0"/>
                <w:sz w:val="18"/>
              </w:rPr>
              <w:t>{{NF_LineMonthly}}</w:t>
            </w:r>
          </w:p>
        </w:tc>
        <w:tc>
          <w:tcPr>
            <w:tcW w:type="dxa" w:w="1417"/>
          </w:tcPr>
          <w:p>
            <w:pPr>
              <w:spacing w:after="0"/>
              <w:jc w:val="right"/>
            </w:pPr>
            <w:r/>
            <w:r>
              <w:rPr>
                <w:rFonts w:ascii="Arial" w:hAnsi="Arial"/>
                <w:b w:val="0"/>
                <w:i w:val="0"/>
                <w:sz w:val="18"/>
              </w:rPr>
              <w:t>{{NF_LineOneTime}}{{/SalesTransactionItem}}</w:t>
            </w:r>
          </w:p>
        </w:tc>
      </w:tr>
      <w:tr>
        <w:tc>
          <w:tcPr>
            <w:tcW w:type="dxa" w:w="1814"/>
            <w:shd w:val="clear" w:color="auto" w:fill="F2F5F9"/>
          </w:tcPr>
          <w:p>
            <w:pPr>
              <w:spacing w:after="0"/>
            </w:pPr>
            <w:r/>
            <w:r>
              <w:rPr>
                <w:rFonts w:ascii="Arial" w:hAnsi="Arial"/>
                <w:b/>
                <w:i w:val="0"/>
                <w:color w:val="12233F"/>
                <w:sz w:val="19"/>
              </w:rPr>
              <w:t>Total</w:t>
            </w:r>
          </w:p>
        </w:tc>
        <w:tc>
          <w:tcPr>
            <w:tcW w:type="dxa" w:w="680"/>
            <w:shd w:val="clear" w:color="auto" w:fill="F2F5F9"/>
          </w:tcPr>
          <w:p>
            <w:pPr>
              <w:spacing w:after="0"/>
            </w:pPr>
            <w:r/>
            <w:r>
              <w:rPr>
                <w:rFonts w:ascii="Arial" w:hAnsi="Arial"/>
                <w:b w:val="0"/>
                <w:i w:val="0"/>
                <w:sz w:val="19"/>
              </w:rPr>
            </w:r>
          </w:p>
        </w:tc>
        <w:tc>
          <w:tcPr>
            <w:tcW w:type="dxa" w:w="3402"/>
            <w:shd w:val="clear" w:color="auto" w:fill="F2F5F9"/>
          </w:tcPr>
          <w:p>
            <w:pPr>
              <w:spacing w:after="0"/>
            </w:pPr>
            <w:r/>
            <w:r>
              <w:rPr>
                <w:rFonts w:ascii="Arial" w:hAnsi="Arial"/>
                <w:b w:val="0"/>
                <w:i w:val="0"/>
                <w:sz w:val="19"/>
              </w:rPr>
            </w:r>
          </w:p>
        </w:tc>
        <w:tc>
          <w:tcPr>
            <w:tcW w:type="dxa" w:w="680"/>
            <w:shd w:val="clear" w:color="auto" w:fill="F2F5F9"/>
          </w:tcPr>
          <w:p>
            <w:pPr>
              <w:spacing w:after="0"/>
            </w:pPr>
            <w:r/>
            <w:r>
              <w:rPr>
                <w:rFonts w:ascii="Arial" w:hAnsi="Arial"/>
                <w:b w:val="0"/>
                <w:i w:val="0"/>
                <w:sz w:val="19"/>
              </w:rPr>
            </w:r>
          </w:p>
        </w:tc>
        <w:tc>
          <w:tcPr>
            <w:tcW w:type="dxa" w:w="1417"/>
            <w:shd w:val="clear" w:color="auto" w:fill="F2F5F9"/>
          </w:tcPr>
          <w:p>
            <w:pPr>
              <w:spacing w:after="0"/>
              <w:jc w:val="right"/>
            </w:pPr>
            <w:r/>
            <w:r>
              <w:rPr>
                <w:rFonts w:ascii="Arial" w:hAnsi="Arial"/>
                <w:b/>
                <w:i w:val="0"/>
                <w:color w:val="12233F"/>
                <w:sz w:val="19"/>
              </w:rPr>
              <w:t>{{NF_MonthlyTotal}}</w:t>
            </w:r>
          </w:p>
        </w:tc>
        <w:tc>
          <w:tcPr>
            <w:tcW w:type="dxa" w:w="1417"/>
            <w:shd w:val="clear" w:color="auto" w:fill="F2F5F9"/>
          </w:tcPr>
          <w:p>
            <w:pPr>
              <w:spacing w:after="0"/>
              <w:jc w:val="right"/>
            </w:pPr>
            <w:r/>
            <w:r>
              <w:rPr>
                <w:rFonts w:ascii="Arial" w:hAnsi="Arial"/>
                <w:b/>
                <w:i w:val="0"/>
                <w:color w:val="12233F"/>
                <w:sz w:val="19"/>
              </w:rPr>
              <w:t>{{NF_OneTimeTotal}}</w:t>
            </w:r>
          </w:p>
        </w:tc>
      </w:tr>
    </w:tbl>
    <w:p>
      <w:pPr>
        <w:spacing w:after="80" w:before="60"/>
      </w:pPr>
      <w:r>
        <w:rPr>
          <w:rFonts w:ascii="Arial" w:hAnsi="Arial"/>
          <w:b w:val="0"/>
          <w:i/>
          <w:color w:val="5B6676"/>
          <w:sz w:val="16"/>
        </w:rPr>
        <w:t>Prices are per site and per state (location-based rate card). Taxes, surcharges and regulatory fees are extra.</w:t>
      </w:r>
    </w:p>
    <w:p>
      <w:pPr>
        <w:spacing w:after="80" w:before="200"/>
      </w:pPr>
      <w:r>
        <w:rPr>
          <w:rFonts w:ascii="Arial" w:hAnsi="Arial"/>
          <w:b/>
          <w:i w:val="0"/>
          <w:color w:val="00A693"/>
          <w:sz w:val="26"/>
        </w:rPr>
        <w:t xml:space="preserve">3  </w:t>
      </w:r>
      <w:r>
        <w:rPr>
          <w:rFonts w:ascii="Arial" w:hAnsi="Arial"/>
          <w:b/>
          <w:i w:val="0"/>
          <w:color w:val="12233F"/>
          <w:sz w:val="26"/>
        </w:rPr>
        <w:t>Service levels</w:t>
      </w:r>
    </w:p>
    <w:tbl>
      <w:tblPr>
        <w:tblW w:type="auto" w:w="0"/>
        <w:tblLook w:firstColumn="1" w:firstRow="1" w:lastColumn="0" w:lastRow="0" w:noHBand="0" w:noVBand="1" w:val="04A0"/>
        <w:tblBorders>
          <w:top w:val="single" w:sz="4" w:color="D5DCE6"/>
          <w:left w:val="single" w:sz="4" w:color="D5DCE6"/>
          <w:bottom w:val="single" w:sz="4" w:color="D5DCE6"/>
          <w:right w:val="single" w:sz="4" w:color="D5DCE6"/>
          <w:insideH w:val="single" w:sz="4" w:color="D5DCE6"/>
          <w:insideV w:val="single" w:sz="4" w:color="D5DCE6"/>
        </w:tblBorders>
      </w:tblPr>
      <w:tblGrid>
        <w:gridCol w:w="2436"/>
        <w:gridCol w:w="2436"/>
        <w:gridCol w:w="2436"/>
        <w:gridCol w:w="2436"/>
      </w:tblGrid>
      <w:tr>
        <w:tc>
          <w:tcPr>
            <w:tcW w:type="dxa" w:w="2381"/>
            <w:shd w:val="clear" w:color="auto" w:fill="12233F"/>
          </w:tcPr>
          <w:p>
            <w:pPr>
              <w:spacing w:after="0"/>
            </w:pPr>
            <w:r/>
            <w:r>
              <w:rPr>
                <w:rFonts w:ascii="Arial" w:hAnsi="Arial"/>
                <w:b/>
                <w:i w:val="0"/>
                <w:color w:val="FFFFFF"/>
                <w:sz w:val="17"/>
              </w:rPr>
              <w:t>Service</w:t>
            </w:r>
          </w:p>
        </w:tc>
        <w:tc>
          <w:tcPr>
            <w:tcW w:type="dxa" w:w="2041"/>
            <w:shd w:val="clear" w:color="auto" w:fill="12233F"/>
          </w:tcPr>
          <w:p>
            <w:pPr>
              <w:spacing w:after="0"/>
            </w:pPr>
            <w:r/>
            <w:r>
              <w:rPr>
                <w:rFonts w:ascii="Arial" w:hAnsi="Arial"/>
                <w:b/>
                <w:i w:val="0"/>
                <w:color w:val="FFFFFF"/>
                <w:sz w:val="17"/>
              </w:rPr>
              <w:t>Availability</w:t>
            </w:r>
          </w:p>
        </w:tc>
        <w:tc>
          <w:tcPr>
            <w:tcW w:type="dxa" w:w="2041"/>
            <w:shd w:val="clear" w:color="auto" w:fill="12233F"/>
          </w:tcPr>
          <w:p>
            <w:pPr>
              <w:spacing w:after="0"/>
            </w:pPr>
            <w:r/>
            <w:r>
              <w:rPr>
                <w:rFonts w:ascii="Arial" w:hAnsi="Arial"/>
                <w:b/>
                <w:i w:val="0"/>
                <w:color w:val="FFFFFF"/>
                <w:sz w:val="17"/>
              </w:rPr>
              <w:t>Time to repair</w:t>
            </w:r>
          </w:p>
        </w:tc>
        <w:tc>
          <w:tcPr>
            <w:tcW w:type="dxa" w:w="3118"/>
            <w:shd w:val="clear" w:color="auto" w:fill="12233F"/>
          </w:tcPr>
          <w:p>
            <w:pPr>
              <w:spacing w:after="0"/>
            </w:pPr>
            <w:r/>
            <w:r>
              <w:rPr>
                <w:rFonts w:ascii="Arial" w:hAnsi="Arial"/>
                <w:b/>
                <w:i w:val="0"/>
                <w:color w:val="FFFFFF"/>
                <w:sz w:val="17"/>
              </w:rPr>
              <w:t>Support</w:t>
            </w:r>
          </w:p>
        </w:tc>
      </w:tr>
      <w:tr>
        <w:tc>
          <w:tcPr>
            <w:tcW w:type="dxa" w:w="2381"/>
          </w:tcPr>
          <w:p>
            <w:pPr>
              <w:spacing w:after="0"/>
            </w:pPr>
            <w:r/>
            <w:r>
              <w:rPr>
                <w:rFonts w:ascii="Arial" w:hAnsi="Arial"/>
                <w:b/>
                <w:i w:val="0"/>
                <w:color w:val="1E2733"/>
                <w:sz w:val="18"/>
              </w:rPr>
              <w:t>Dedicated Internet</w:t>
            </w:r>
          </w:p>
        </w:tc>
        <w:tc>
          <w:tcPr>
            <w:tcW w:type="dxa" w:w="2041"/>
          </w:tcPr>
          <w:p>
            <w:pPr>
              <w:spacing w:after="0"/>
            </w:pPr>
            <w:r/>
            <w:r>
              <w:rPr>
                <w:rFonts w:ascii="Arial" w:hAnsi="Arial"/>
                <w:b w:val="0"/>
                <w:i w:val="0"/>
                <w:color w:val="1E2733"/>
                <w:sz w:val="18"/>
              </w:rPr>
              <w:t>99.95%</w:t>
            </w:r>
          </w:p>
        </w:tc>
        <w:tc>
          <w:tcPr>
            <w:tcW w:type="dxa" w:w="2041"/>
          </w:tcPr>
          <w:p>
            <w:pPr>
              <w:spacing w:after="0"/>
            </w:pPr>
            <w:r/>
            <w:r>
              <w:rPr>
                <w:rFonts w:ascii="Arial" w:hAnsi="Arial"/>
                <w:b w:val="0"/>
                <w:i w:val="0"/>
                <w:color w:val="1E2733"/>
                <w:sz w:val="18"/>
              </w:rPr>
              <w:t>4 hours</w:t>
            </w:r>
          </w:p>
        </w:tc>
        <w:tc>
          <w:tcPr>
            <w:tcW w:type="dxa" w:w="3118"/>
          </w:tcPr>
          <w:p>
            <w:pPr>
              <w:spacing w:after="0"/>
            </w:pPr>
            <w:r/>
            <w:r>
              <w:rPr>
                <w:rFonts w:ascii="Arial" w:hAnsi="Arial"/>
                <w:b w:val="0"/>
                <w:i w:val="0"/>
                <w:color w:val="1E2733"/>
                <w:sz w:val="18"/>
              </w:rPr>
              <w:t>24 × 7 NOC, proactive monitoring</w:t>
            </w:r>
          </w:p>
        </w:tc>
      </w:tr>
      <w:tr>
        <w:tc>
          <w:tcPr>
            <w:tcW w:type="dxa" w:w="2381"/>
            <w:shd w:val="clear" w:color="auto" w:fill="F2F5F9"/>
          </w:tcPr>
          <w:p>
            <w:pPr>
              <w:spacing w:after="0"/>
            </w:pPr>
            <w:r/>
            <w:r>
              <w:rPr>
                <w:rFonts w:ascii="Arial" w:hAnsi="Arial"/>
                <w:b/>
                <w:i w:val="0"/>
                <w:color w:val="1E2733"/>
                <w:sz w:val="18"/>
              </w:rPr>
              <w:t>Business Fiber</w:t>
            </w:r>
          </w:p>
        </w:tc>
        <w:tc>
          <w:tcPr>
            <w:tcW w:type="dxa" w:w="2041"/>
            <w:shd w:val="clear" w:color="auto" w:fill="F2F5F9"/>
          </w:tcPr>
          <w:p>
            <w:pPr>
              <w:spacing w:after="0"/>
            </w:pPr>
            <w:r/>
            <w:r>
              <w:rPr>
                <w:rFonts w:ascii="Arial" w:hAnsi="Arial"/>
                <w:b w:val="0"/>
                <w:i w:val="0"/>
                <w:color w:val="1E2733"/>
                <w:sz w:val="18"/>
              </w:rPr>
              <w:t>99.9%</w:t>
            </w:r>
          </w:p>
        </w:tc>
        <w:tc>
          <w:tcPr>
            <w:tcW w:type="dxa" w:w="2041"/>
            <w:shd w:val="clear" w:color="auto" w:fill="F2F5F9"/>
          </w:tcPr>
          <w:p>
            <w:pPr>
              <w:spacing w:after="0"/>
            </w:pPr>
            <w:r/>
            <w:r>
              <w:rPr>
                <w:rFonts w:ascii="Arial" w:hAnsi="Arial"/>
                <w:b w:val="0"/>
                <w:i w:val="0"/>
                <w:color w:val="1E2733"/>
                <w:sz w:val="18"/>
              </w:rPr>
              <w:t>8 hours</w:t>
            </w:r>
          </w:p>
        </w:tc>
        <w:tc>
          <w:tcPr>
            <w:tcW w:type="dxa" w:w="3118"/>
            <w:shd w:val="clear" w:color="auto" w:fill="F2F5F9"/>
          </w:tcPr>
          <w:p>
            <w:pPr>
              <w:spacing w:after="0"/>
            </w:pPr>
            <w:r/>
            <w:r>
              <w:rPr>
                <w:rFonts w:ascii="Arial" w:hAnsi="Arial"/>
                <w:b w:val="0"/>
                <w:i w:val="0"/>
                <w:color w:val="1E2733"/>
                <w:sz w:val="18"/>
              </w:rPr>
              <w:t>24 × 7 business support</w:t>
            </w:r>
          </w:p>
        </w:tc>
      </w:tr>
      <w:tr>
        <w:tc>
          <w:tcPr>
            <w:tcW w:type="dxa" w:w="2381"/>
          </w:tcPr>
          <w:p>
            <w:pPr>
              <w:spacing w:after="0"/>
            </w:pPr>
            <w:r/>
            <w:r>
              <w:rPr>
                <w:rFonts w:ascii="Arial" w:hAnsi="Arial"/>
                <w:b/>
                <w:i w:val="0"/>
                <w:color w:val="1E2733"/>
                <w:sz w:val="18"/>
              </w:rPr>
              <w:t>SD-WAN</w:t>
            </w:r>
          </w:p>
        </w:tc>
        <w:tc>
          <w:tcPr>
            <w:tcW w:type="dxa" w:w="2041"/>
          </w:tcPr>
          <w:p>
            <w:pPr>
              <w:spacing w:after="0"/>
            </w:pPr>
            <w:r/>
            <w:r>
              <w:rPr>
                <w:rFonts w:ascii="Arial" w:hAnsi="Arial"/>
                <w:b w:val="0"/>
                <w:i w:val="0"/>
                <w:color w:val="1E2733"/>
                <w:sz w:val="18"/>
              </w:rPr>
              <w:t>99.99% (dual path)</w:t>
            </w:r>
          </w:p>
        </w:tc>
        <w:tc>
          <w:tcPr>
            <w:tcW w:type="dxa" w:w="2041"/>
          </w:tcPr>
          <w:p>
            <w:pPr>
              <w:spacing w:after="0"/>
            </w:pPr>
            <w:r/>
            <w:r>
              <w:rPr>
                <w:rFonts w:ascii="Arial" w:hAnsi="Arial"/>
                <w:b w:val="0"/>
                <w:i w:val="0"/>
                <w:color w:val="1E2733"/>
                <w:sz w:val="18"/>
              </w:rPr>
              <w:t>4 hours (edge swap)</w:t>
            </w:r>
          </w:p>
        </w:tc>
        <w:tc>
          <w:tcPr>
            <w:tcW w:type="dxa" w:w="3118"/>
          </w:tcPr>
          <w:p>
            <w:pPr>
              <w:spacing w:after="0"/>
            </w:pPr>
            <w:r/>
            <w:r>
              <w:rPr>
                <w:rFonts w:ascii="Arial" w:hAnsi="Arial"/>
                <w:b w:val="0"/>
                <w:i w:val="0"/>
                <w:color w:val="1E2733"/>
                <w:sz w:val="18"/>
              </w:rPr>
              <w:t>Managed, portal and reporting</w:t>
            </w:r>
          </w:p>
        </w:tc>
      </w:tr>
      <w:tr>
        <w:tc>
          <w:tcPr>
            <w:tcW w:type="dxa" w:w="2381"/>
            <w:shd w:val="clear" w:color="auto" w:fill="F2F5F9"/>
          </w:tcPr>
          <w:p>
            <w:pPr>
              <w:spacing w:after="0"/>
            </w:pPr>
            <w:r/>
            <w:r>
              <w:rPr>
                <w:rFonts w:ascii="Arial" w:hAnsi="Arial"/>
                <w:b/>
                <w:i w:val="0"/>
                <w:color w:val="1E2733"/>
                <w:sz w:val="18"/>
              </w:rPr>
              <w:t>Business Voice</w:t>
            </w:r>
          </w:p>
        </w:tc>
        <w:tc>
          <w:tcPr>
            <w:tcW w:type="dxa" w:w="2041"/>
            <w:shd w:val="clear" w:color="auto" w:fill="F2F5F9"/>
          </w:tcPr>
          <w:p>
            <w:pPr>
              <w:spacing w:after="0"/>
            </w:pPr>
            <w:r/>
            <w:r>
              <w:rPr>
                <w:rFonts w:ascii="Arial" w:hAnsi="Arial"/>
                <w:b w:val="0"/>
                <w:i w:val="0"/>
                <w:color w:val="1E2733"/>
                <w:sz w:val="18"/>
              </w:rPr>
              <w:t>99.99%</w:t>
            </w:r>
          </w:p>
        </w:tc>
        <w:tc>
          <w:tcPr>
            <w:tcW w:type="dxa" w:w="2041"/>
            <w:shd w:val="clear" w:color="auto" w:fill="F2F5F9"/>
          </w:tcPr>
          <w:p>
            <w:pPr>
              <w:spacing w:after="0"/>
            </w:pPr>
            <w:r/>
            <w:r>
              <w:rPr>
                <w:rFonts w:ascii="Arial" w:hAnsi="Arial"/>
                <w:b w:val="0"/>
                <w:i w:val="0"/>
                <w:color w:val="1E2733"/>
                <w:sz w:val="18"/>
              </w:rPr>
              <w:t>4 hours</w:t>
            </w:r>
          </w:p>
        </w:tc>
        <w:tc>
          <w:tcPr>
            <w:tcW w:type="dxa" w:w="3118"/>
            <w:shd w:val="clear" w:color="auto" w:fill="F2F5F9"/>
          </w:tcPr>
          <w:p>
            <w:pPr>
              <w:spacing w:after="0"/>
            </w:pPr>
            <w:r/>
            <w:r>
              <w:rPr>
                <w:rFonts w:ascii="Arial" w:hAnsi="Arial"/>
                <w:b w:val="0"/>
                <w:i w:val="0"/>
                <w:color w:val="1E2733"/>
                <w:sz w:val="18"/>
              </w:rPr>
              <w:t>Number porting and admin portal</w:t>
            </w:r>
          </w:p>
        </w:tc>
      </w:tr>
    </w:tbl>
    <w:p>
      <w:pPr>
        <w:spacing w:after="80" w:before="60"/>
      </w:pPr>
      <w:r>
        <w:rPr>
          <w:rFonts w:ascii="Arial" w:hAnsi="Arial"/>
          <w:b w:val="0"/>
          <w:i w:val="0"/>
          <w:color w:val="5B6676"/>
          <w:sz w:val="17"/>
        </w:rPr>
        <w:t>Service credits of 5% of the affected site’s monthly charge per full hour beyond the time to repair, up to 50%.</w:t>
      </w:r>
    </w:p>
    <w:p>
      <w:pPr>
        <w:spacing w:after="0" w:before="0"/>
      </w:pPr>
      <w:r>
        <w:br w:type="page"/>
      </w:r>
    </w:p>
    <w:p>
      <w:pPr>
        <w:spacing w:after="80" w:before="200"/>
      </w:pPr>
      <w:r>
        <w:rPr>
          <w:rFonts w:ascii="Arial" w:hAnsi="Arial"/>
          <w:b/>
          <w:i w:val="0"/>
          <w:color w:val="00A693"/>
          <w:sz w:val="26"/>
        </w:rPr>
        <w:t xml:space="preserve">4  </w:t>
      </w:r>
      <w:r>
        <w:rPr>
          <w:rFonts w:ascii="Arial" w:hAnsi="Arial"/>
          <w:b/>
          <w:i w:val="0"/>
          <w:color w:val="12233F"/>
          <w:sz w:val="26"/>
        </w:rPr>
        <w:t>Commercial terms</w:t>
      </w:r>
    </w:p>
    <w:p>
      <w:pPr>
        <w:spacing w:after="60" w:before="0"/>
      </w:pPr>
      <w:r>
        <w:rPr>
          <w:rFonts w:ascii="Arial" w:hAnsi="Arial"/>
          <w:b/>
          <w:i w:val="0"/>
          <w:color w:val="12233F"/>
          <w:sz w:val="18"/>
        </w:rPr>
        <w:t xml:space="preserve">Term. </w:t>
      </w:r>
      <w:r>
        <w:rPr>
          <w:rFonts w:ascii="Arial" w:hAnsi="Arial"/>
          <w:b w:val="0"/>
          <w:i w:val="0"/>
          <w:color w:val="1E2733"/>
          <w:sz w:val="18"/>
        </w:rPr>
        <w:t>36 months per site, starting on that site’s activation date.</w:t>
      </w:r>
    </w:p>
    <w:p>
      <w:pPr>
        <w:spacing w:after="60" w:before="0"/>
      </w:pPr>
      <w:r>
        <w:rPr>
          <w:rFonts w:ascii="Arial" w:hAnsi="Arial"/>
          <w:b/>
          <w:i w:val="0"/>
          <w:color w:val="12233F"/>
          <w:sz w:val="18"/>
        </w:rPr>
        <w:t xml:space="preserve">Billing. </w:t>
      </w:r>
      <w:r>
        <w:rPr>
          <w:rFonts w:ascii="Arial" w:hAnsi="Arial"/>
          <w:b w:val="0"/>
          <w:i w:val="0"/>
          <w:color w:val="1E2733"/>
          <w:sz w:val="18"/>
        </w:rPr>
        <w:t>One consolidated invoice per month, in arrears, payable within 30 days. Each site’s charges start at activation.</w:t>
      </w:r>
    </w:p>
    <w:p>
      <w:pPr>
        <w:spacing w:after="60" w:before="0"/>
      </w:pPr>
      <w:r>
        <w:rPr>
          <w:rFonts w:ascii="Arial" w:hAnsi="Arial"/>
          <w:b/>
          <w:i w:val="0"/>
          <w:color w:val="12233F"/>
          <w:sz w:val="18"/>
        </w:rPr>
        <w:t xml:space="preserve">Installation. </w:t>
      </w:r>
      <w:r>
        <w:rPr>
          <w:rFonts w:ascii="Arial" w:hAnsi="Arial"/>
          <w:b w:val="0"/>
          <w:i w:val="0"/>
          <w:color w:val="1E2733"/>
          <w:sz w:val="18"/>
        </w:rPr>
        <w:t>One scheduled visit per site by a NovaFiber crew from that state; site access and power are the customer’s responsibility.</w:t>
      </w:r>
    </w:p>
    <w:p>
      <w:pPr>
        <w:spacing w:after="60" w:before="0"/>
      </w:pPr>
      <w:r>
        <w:rPr>
          <w:rFonts w:ascii="Arial" w:hAnsi="Arial"/>
          <w:b/>
          <w:i w:val="0"/>
          <w:color w:val="12233F"/>
          <w:sz w:val="18"/>
        </w:rPr>
        <w:t xml:space="preserve">Changes. </w:t>
      </w:r>
      <w:r>
        <w:rPr>
          <w:rFonts w:ascii="Arial" w:hAnsi="Arial"/>
          <w:b w:val="0"/>
          <w:i w:val="0"/>
          <w:color w:val="1E2733"/>
          <w:sz w:val="18"/>
        </w:rPr>
        <w:t>Sites can be added at the then-current state rates. Upgrades during the term keep the remaining term.</w:t>
      </w:r>
    </w:p>
    <w:p>
      <w:pPr>
        <w:spacing w:after="60" w:before="0"/>
      </w:pPr>
      <w:r>
        <w:rPr>
          <w:rFonts w:ascii="Arial" w:hAnsi="Arial"/>
          <w:b/>
          <w:i w:val="0"/>
          <w:color w:val="12233F"/>
          <w:sz w:val="18"/>
        </w:rPr>
        <w:t xml:space="preserve">Early termination. </w:t>
      </w:r>
      <w:r>
        <w:rPr>
          <w:rFonts w:ascii="Arial" w:hAnsi="Arial"/>
          <w:b w:val="0"/>
          <w:i w:val="0"/>
          <w:color w:val="1E2733"/>
          <w:sz w:val="18"/>
        </w:rPr>
        <w:t>50% of the remaining monthly charges of the terminated site.</w:t>
      </w:r>
    </w:p>
    <w:p>
      <w:pPr>
        <w:spacing w:after="60" w:before="0"/>
      </w:pPr>
      <w:r>
        <w:rPr>
          <w:rFonts w:ascii="Arial" w:hAnsi="Arial"/>
          <w:b/>
          <w:i w:val="0"/>
          <w:color w:val="12233F"/>
          <w:sz w:val="18"/>
        </w:rPr>
        <w:t xml:space="preserve">Validity. </w:t>
      </w:r>
      <w:r>
        <w:rPr>
          <w:rFonts w:ascii="Arial" w:hAnsi="Arial"/>
          <w:b w:val="0"/>
          <w:i w:val="0"/>
          <w:color w:val="1E2733"/>
          <w:sz w:val="18"/>
        </w:rPr>
        <w:t>This proposal is valid until {{NF_ValidUntil}}. Signing it accepts these terms and authorises NovaFiber to order the services.</w:t>
      </w:r>
    </w:p>
    <w:p>
      <w:pPr>
        <w:spacing w:after="80" w:before="200"/>
      </w:pPr>
      <w:r>
        <w:rPr>
          <w:rFonts w:ascii="Arial" w:hAnsi="Arial"/>
          <w:b/>
          <w:i w:val="0"/>
          <w:color w:val="00A693"/>
          <w:sz w:val="26"/>
        </w:rPr>
        <w:t xml:space="preserve">5  </w:t>
      </w:r>
      <w:r>
        <w:rPr>
          <w:rFonts w:ascii="Arial" w:hAnsi="Arial"/>
          <w:b/>
          <w:i w:val="0"/>
          <w:color w:val="12233F"/>
          <w:sz w:val="26"/>
        </w:rPr>
        <w:t>Acceptance</w:t>
      </w:r>
    </w:p>
    <w:p>
      <w:pPr>
        <w:spacing w:after="120" w:before="0"/>
      </w:pPr>
      <w:r>
        <w:rPr>
          <w:rFonts w:ascii="Arial" w:hAnsi="Arial"/>
          <w:b w:val="0"/>
          <w:i w:val="0"/>
          <w:color w:val="1E2733"/>
          <w:sz w:val="19"/>
        </w:rPr>
        <w:t>Signed for and on behalf of {{NF_CompanyName}} by an authorised signatory.</w:t>
      </w:r>
    </w:p>
    <w:tbl>
      <w:tblPr>
        <w:tblW w:type="auto" w:w="0"/>
        <w:tblLook w:firstColumn="1" w:firstRow="1" w:lastColumn="0" w:lastRow="0" w:noHBand="0" w:noVBand="1" w:val="04A0"/>
        <w:tblBorders>
          <w:top w:val="single" w:sz="4" w:color="D5DCE6"/>
          <w:left w:val="single" w:sz="4" w:color="D5DCE6"/>
          <w:bottom w:val="single" w:sz="4" w:color="D5DCE6"/>
          <w:right w:val="single" w:sz="4" w:color="D5DCE6"/>
          <w:insideH w:val="single" w:sz="4" w:color="D5DCE6"/>
          <w:insideV w:val="single" w:sz="4" w:color="D5DCE6"/>
        </w:tblBorders>
      </w:tblPr>
      <w:tblGrid>
        <w:gridCol w:w="3249"/>
        <w:gridCol w:w="3249"/>
        <w:gridCol w:w="3249"/>
      </w:tblGrid>
      <w:tr>
        <w:tc>
          <w:tcPr>
            <w:tcW w:type="dxa" w:w="4252"/>
            <w:shd w:val="clear" w:color="auto" w:fill="F2F5F9"/>
          </w:tcPr>
          <w:p>
            <w:pPr>
              <w:spacing w:after="0"/>
            </w:pPr>
            <w:r/>
            <w:r>
              <w:rPr>
                <w:rFonts w:ascii="Arial" w:hAnsi="Arial"/>
                <w:b/>
                <w:i w:val="0"/>
                <w:color w:val="5B6676"/>
                <w:sz w:val="15"/>
              </w:rPr>
              <w:t>SIGNATURE</w:t>
            </w:r>
          </w:p>
        </w:tc>
        <w:tc>
          <w:tcPr>
            <w:tcW w:type="dxa" w:w="3118"/>
            <w:shd w:val="clear" w:color="auto" w:fill="F2F5F9"/>
          </w:tcPr>
          <w:p>
            <w:pPr>
              <w:spacing w:after="0"/>
            </w:pPr>
            <w:r/>
            <w:r>
              <w:rPr>
                <w:rFonts w:ascii="Arial" w:hAnsi="Arial"/>
                <w:b/>
                <w:i w:val="0"/>
                <w:color w:val="5B6676"/>
                <w:sz w:val="15"/>
              </w:rPr>
              <w:t>NAME</w:t>
            </w:r>
          </w:p>
        </w:tc>
        <w:tc>
          <w:tcPr>
            <w:tcW w:type="dxa" w:w="2041"/>
            <w:shd w:val="clear" w:color="auto" w:fill="F2F5F9"/>
          </w:tcPr>
          <w:p>
            <w:pPr>
              <w:spacing w:after="0"/>
            </w:pPr>
            <w:r/>
            <w:r>
              <w:rPr>
                <w:rFonts w:ascii="Arial" w:hAnsi="Arial"/>
                <w:b/>
                <w:i w:val="0"/>
                <w:color w:val="5B6676"/>
                <w:sz w:val="15"/>
              </w:rPr>
              <w:t>DATE</w:t>
            </w:r>
          </w:p>
        </w:tc>
      </w:tr>
      <w:tr>
        <w:tc>
          <w:tcPr>
            <w:tcW w:type="dxa" w:w="4252"/>
          </w:tcPr>
          <w:p>
            <w:pPr>
              <w:spacing w:after="0"/>
            </w:pPr>
            <w:r/>
            <w:r>
              <w:rPr>
                <w:rFonts w:ascii="Arial" w:hAnsi="Arial"/>
                <w:b w:val="0"/>
                <w:i w:val="0"/>
                <w:color w:val="FFFFFF"/>
                <w:sz w:val="14"/>
              </w:rPr>
              <w:t>[[SIGN_CUSTOMER]]</w:t>
            </w:r>
          </w:p>
          <w:p>
            <w:r>
              <w:rPr>
                <w:rFonts w:ascii="Arial" w:hAnsi="Arial"/>
                <w:b w:val="0"/>
                <w:i w:val="0"/>
                <w:color w:val="FFFFFF"/>
                <w:sz w:val="14"/>
              </w:rPr>
              <w:t>\nfSignHere1\</w:t>
            </w:r>
          </w:p>
          <w:p>
            <w:pPr>
              <w:spacing w:before="200"/>
            </w:pPr>
          </w:p>
        </w:tc>
        <w:tc>
          <w:tcPr>
            <w:tcW w:type="dxa" w:w="3118"/>
          </w:tcPr>
          <w:p>
            <w:pPr>
              <w:spacing w:after="0"/>
            </w:pPr>
            <w:r/>
            <w:r>
              <w:rPr>
                <w:rFonts w:ascii="Arial" w:hAnsi="Arial"/>
                <w:b/>
                <w:i w:val="0"/>
                <w:color w:val="1E2733"/>
                <w:sz w:val="19"/>
              </w:rPr>
              <w:t>{{NF_SignerName}}</w:t>
            </w:r>
          </w:p>
        </w:tc>
        <w:tc>
          <w:tcPr>
            <w:tcW w:type="dxa" w:w="2041"/>
          </w:tcPr>
          <w:p>
            <w:pPr>
              <w:spacing w:after="0"/>
            </w:pPr>
            <w:r/>
            <w:r>
              <w:rPr>
                <w:rFonts w:ascii="Arial" w:hAnsi="Arial"/>
                <w:b w:val="0"/>
                <w:i w:val="0"/>
                <w:color w:val="FFFFFF"/>
                <w:sz w:val="14"/>
              </w:rPr>
              <w:t>[[DATE_CUSTOMER]]</w:t>
            </w:r>
          </w:p>
          <w:p>
            <w:r>
              <w:rPr>
                <w:rFonts w:ascii="Arial" w:hAnsi="Arial"/>
                <w:b w:val="0"/>
                <w:i w:val="0"/>
                <w:color w:val="FFFFFF"/>
                <w:sz w:val="14"/>
              </w:rPr>
              <w:t>\nfDateSigned1\</w:t>
            </w:r>
          </w:p>
        </w:tc>
      </w:tr>
    </w:tbl>
    <w:sectPr w:rsidR="00FC693F" w:rsidRPr="0006063C" w:rsidSect="00034616">
      <w:footerReference w:type="default" r:id="rId9"/>
      <w:pgSz w:w="12240" w:h="15840"/>
      <w:pgMar w:top="907"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676"/>
        <w:sz w:val="15"/>
      </w:rPr>
      <w:t>NovaFiber Business · Proposal {{NF_QuoteNumber}} for {{NF_CompanyName}} · Confidential · Generated by Salesforce Document Generation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